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1E" w:rsidRPr="00DA1475" w:rsidRDefault="00C0181E" w:rsidP="00416075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40"/>
          <w:szCs w:val="40"/>
          <w:u w:val="single"/>
        </w:rPr>
      </w:pPr>
      <w:bookmarkStart w:id="0" w:name="_GoBack"/>
      <w:bookmarkEnd w:id="0"/>
      <w:r w:rsidRPr="00DA1475">
        <w:rPr>
          <w:rFonts w:ascii="KorolevCondensed-Bold" w:hAnsi="KorolevCondensed-Bold" w:cs="KorolevCondensed-Bold"/>
          <w:b/>
          <w:bCs/>
          <w:color w:val="1C4C69"/>
          <w:sz w:val="40"/>
          <w:szCs w:val="40"/>
          <w:u w:val="single"/>
        </w:rPr>
        <w:t>Programa 2077</w:t>
      </w:r>
      <w:r w:rsidR="00416075" w:rsidRPr="00DA1475">
        <w:rPr>
          <w:rFonts w:ascii="KorolevCondensed-Bold" w:hAnsi="KorolevCondensed-Bold" w:cs="KorolevCondensed-Bold"/>
          <w:b/>
          <w:bCs/>
          <w:color w:val="1C4C69"/>
          <w:sz w:val="40"/>
          <w:szCs w:val="40"/>
          <w:u w:val="single"/>
        </w:rPr>
        <w:t xml:space="preserve"> - </w:t>
      </w:r>
      <w:r w:rsidRPr="00DA1475">
        <w:rPr>
          <w:rFonts w:ascii="KorolevCondensed-Bold" w:hAnsi="KorolevCondensed-Bold" w:cs="KorolevCondensed-Bold"/>
          <w:b/>
          <w:bCs/>
          <w:color w:val="1C4C69"/>
          <w:sz w:val="40"/>
          <w:szCs w:val="40"/>
          <w:u w:val="single"/>
        </w:rPr>
        <w:t>Agropecuária Sustentável</w:t>
      </w:r>
    </w:p>
    <w:p w:rsidR="00416075" w:rsidRPr="00416075" w:rsidRDefault="00416075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16"/>
          <w:szCs w:val="16"/>
        </w:rPr>
      </w:pPr>
    </w:p>
    <w:p w:rsidR="00416075" w:rsidRPr="006410DA" w:rsidRDefault="00416075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30"/>
          <w:szCs w:val="30"/>
        </w:rPr>
      </w:pPr>
      <w:r w:rsidRPr="006410DA">
        <w:rPr>
          <w:rFonts w:ascii="KorolevCondensed-Bold" w:hAnsi="KorolevCondensed-Bold" w:cs="KorolevCondensed-Bold"/>
          <w:b/>
          <w:bCs/>
          <w:color w:val="1C4C69"/>
          <w:sz w:val="30"/>
          <w:szCs w:val="30"/>
        </w:rPr>
        <w:t xml:space="preserve">Órgão </w:t>
      </w:r>
      <w:r w:rsidR="008E5119">
        <w:rPr>
          <w:rFonts w:ascii="KorolevCondensed-Bold" w:hAnsi="KorolevCondensed-Bold" w:cs="KorolevCondensed-Bold"/>
          <w:b/>
          <w:bCs/>
          <w:color w:val="1C4C69"/>
          <w:sz w:val="30"/>
          <w:szCs w:val="30"/>
        </w:rPr>
        <w:t>R</w:t>
      </w:r>
      <w:r w:rsidRPr="006410DA">
        <w:rPr>
          <w:rFonts w:ascii="KorolevCondensed-Bold" w:hAnsi="KorolevCondensed-Bold" w:cs="KorolevCondensed-Bold"/>
          <w:b/>
          <w:bCs/>
          <w:color w:val="1C4C69"/>
          <w:sz w:val="30"/>
          <w:szCs w:val="30"/>
        </w:rPr>
        <w:t>esponsável: Ministério da Agricultura, Pecuária e Abastecimento</w:t>
      </w:r>
      <w:r w:rsidR="004A4A47" w:rsidRPr="006410DA">
        <w:rPr>
          <w:rFonts w:ascii="KorolevCondensed-Bold" w:hAnsi="KorolevCondensed-Bold" w:cs="KorolevCondensed-Bold"/>
          <w:b/>
          <w:bCs/>
          <w:color w:val="1C4C69"/>
          <w:sz w:val="30"/>
          <w:szCs w:val="30"/>
        </w:rPr>
        <w:t xml:space="preserve"> - MAPA</w:t>
      </w:r>
    </w:p>
    <w:p w:rsidR="00416075" w:rsidRDefault="00416075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16"/>
          <w:szCs w:val="16"/>
        </w:rPr>
      </w:pPr>
    </w:p>
    <w:p w:rsidR="00416075" w:rsidRPr="00416075" w:rsidRDefault="00416075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</w:pPr>
      <w:r w:rsidRPr="00416075"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>Contextualização</w:t>
      </w:r>
    </w:p>
    <w:p w:rsidR="00783CC2" w:rsidRPr="00783CC2" w:rsidRDefault="00783CC2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16"/>
          <w:szCs w:val="16"/>
        </w:rPr>
      </w:pPr>
    </w:p>
    <w:p w:rsidR="0049119E" w:rsidRDefault="00C0181E" w:rsidP="00783CC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Um dos maiores e atuais desafios para o desenvolvimento brasileiro é manter o crescimento da produção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agropecuária e, ao mesmo tempo, reduzir os impactos dessa produção sobre os recursos naturais. As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políticas governamentais para o setor agropecuário estão atentas às questões relativas à sustentabilidade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ambiental e ao estabelecimento de programas e metas com esse objetivo. O setor agropecuário vem se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destacando na economia brasileira nas últimas décadas por seu expressivo aumento em produtividade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e sua crescente importância para a manutenção do equilíbrio da balança comercial do país. Com a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modernização da agricultura e o aumento do uso intensivo de máquinas e insumos, elevaram-se os níveis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de produtividade da terra e do trabalho, contribuindo também para o crescimento da indústria associada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ao setor agropecuário.</w:t>
      </w:r>
    </w:p>
    <w:p w:rsidR="0049119E" w:rsidRDefault="0049119E" w:rsidP="00783CC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49119E" w:rsidRDefault="00C0181E" w:rsidP="00783CC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Esse setor é estratégico para a economia brasileira e responde entre 5% e 5,5% do PIB e em torno de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40% das exportações do Brasil. Essa atividade é desenvolvida em cerca de 5 milhões de propriedades, que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ocupam 350 milhões de hectares, impulsionando as cadeias do agronegócio, que geram cerca de um terço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do total de empregos no Brasil. Nos últimos 20 anos, o setor agropecuário tem se mantido quase à margem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das crises econômicas.</w:t>
      </w:r>
    </w:p>
    <w:p w:rsidR="0049119E" w:rsidRDefault="0049119E" w:rsidP="00783CC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49119E" w:rsidRDefault="00C0181E" w:rsidP="00783CC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Um importante instrumento de política agrícola é o crédito rural, que se destina a promover o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desenvolvimento do setor, por meio do fomento à produção e da melhoria da infraestrutura produtiva, com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ênfase na proteção aos pequenos produtores rurais e modernização da agricultura</w:t>
      </w:r>
      <w:r w:rsidR="0049119E">
        <w:rPr>
          <w:rFonts w:ascii="Aller-Light" w:hAnsi="Aller-Light" w:cs="Aller-Light"/>
          <w:color w:val="434041"/>
          <w:sz w:val="24"/>
          <w:szCs w:val="24"/>
        </w:rPr>
        <w:t>.</w:t>
      </w:r>
    </w:p>
    <w:p w:rsidR="0049119E" w:rsidRDefault="0049119E" w:rsidP="00783CC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49119E" w:rsidRDefault="00C0181E" w:rsidP="00783CC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O Brasil é um dos principais líderes mundiais do agronegócio, na produção e exportação de produtos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agrícolas, vendendo cerca de 1.800 diferentes produtos para mercados estrangeiros. Ano após ano, o saldo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na balança comercial da agropecuária permite o superávit da balança comercial brasileira e aumenta a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credibilidade externa do país.</w:t>
      </w:r>
    </w:p>
    <w:p w:rsidR="0049119E" w:rsidRDefault="0049119E" w:rsidP="00783CC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C0181E" w:rsidRPr="005E49C2" w:rsidRDefault="00C0181E" w:rsidP="00783CC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Embora a produção agropecuária tenha aumentado nos últimos anos, as nossas exportações vêm ocorrendo</w:t>
      </w:r>
      <w:r w:rsidR="00783CC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ainda abaixo da sua plena capacidade, não obstante tenham contribuindo de forma positiva para o balanço</w:t>
      </w:r>
    </w:p>
    <w:p w:rsidR="00C0181E" w:rsidRDefault="00C0181E" w:rsidP="00783CC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de pagamento do país.</w:t>
      </w:r>
    </w:p>
    <w:p w:rsidR="00783CC2" w:rsidRPr="00783CC2" w:rsidRDefault="00783CC2" w:rsidP="00783CC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C0181E" w:rsidRPr="00DA1475" w:rsidRDefault="00C0181E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</w:pPr>
      <w:r w:rsidRPr="00DA1475"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>Principais Resultados</w:t>
      </w:r>
    </w:p>
    <w:p w:rsidR="00783CC2" w:rsidRPr="00783CC2" w:rsidRDefault="00783CC2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16"/>
          <w:szCs w:val="16"/>
        </w:rPr>
      </w:pPr>
    </w:p>
    <w:p w:rsidR="0049119E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O programa Agropecuária Sustentável, no Plano Plurianual (PPA) 2016-2019, contempla 20 Indicadores</w:t>
      </w:r>
      <w:r w:rsidR="00F332A8">
        <w:rPr>
          <w:rFonts w:ascii="Aller-Light" w:hAnsi="Aller-Light" w:cs="Aller-Light"/>
          <w:color w:val="434041"/>
          <w:sz w:val="24"/>
          <w:szCs w:val="24"/>
        </w:rPr>
        <w:t xml:space="preserve"> e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="002575DC" w:rsidRPr="0025207C">
        <w:rPr>
          <w:rFonts w:ascii="Aller-Light" w:hAnsi="Aller-Light" w:cs="Aller-Light"/>
          <w:color w:val="434041"/>
          <w:sz w:val="24"/>
          <w:szCs w:val="24"/>
        </w:rPr>
        <w:t>1</w:t>
      </w:r>
      <w:r w:rsidR="003F2AE6" w:rsidRPr="0025207C">
        <w:rPr>
          <w:rFonts w:ascii="Aller-Light" w:hAnsi="Aller-Light" w:cs="Aller-Light"/>
          <w:color w:val="434041"/>
          <w:sz w:val="24"/>
          <w:szCs w:val="24"/>
        </w:rPr>
        <w:t>3</w:t>
      </w:r>
      <w:r w:rsidRPr="0025207C">
        <w:rPr>
          <w:rFonts w:ascii="Aller-Light" w:hAnsi="Aller-Light" w:cs="Aller-Light"/>
          <w:color w:val="434041"/>
          <w:sz w:val="24"/>
          <w:szCs w:val="24"/>
        </w:rPr>
        <w:t xml:space="preserve"> objetivos</w:t>
      </w:r>
      <w:r w:rsidR="004A4A47" w:rsidRPr="0025207C">
        <w:rPr>
          <w:rFonts w:ascii="Aller-Light" w:hAnsi="Aller-Light" w:cs="Aller-Light"/>
          <w:color w:val="434041"/>
          <w:sz w:val="24"/>
          <w:szCs w:val="24"/>
        </w:rPr>
        <w:t xml:space="preserve"> (neste relatório constam </w:t>
      </w:r>
      <w:r w:rsidR="00E055C6" w:rsidRPr="0025207C">
        <w:rPr>
          <w:rFonts w:ascii="Aller-Light" w:hAnsi="Aller-Light" w:cs="Aller-Light"/>
          <w:color w:val="434041"/>
          <w:sz w:val="24"/>
          <w:szCs w:val="24"/>
        </w:rPr>
        <w:t>12</w:t>
      </w:r>
      <w:r w:rsidR="004A4A47" w:rsidRPr="0025207C">
        <w:rPr>
          <w:rFonts w:ascii="Aller-Light" w:hAnsi="Aller-Light" w:cs="Aller-Light"/>
          <w:color w:val="434041"/>
          <w:sz w:val="24"/>
          <w:szCs w:val="24"/>
        </w:rPr>
        <w:t xml:space="preserve"> objetivos de gestão do MAPA)</w:t>
      </w:r>
      <w:r w:rsidRPr="0025207C">
        <w:rPr>
          <w:rFonts w:ascii="Aller-Light" w:hAnsi="Aller-Light" w:cs="Aller-Light"/>
          <w:color w:val="434041"/>
          <w:sz w:val="24"/>
          <w:szCs w:val="24"/>
        </w:rPr>
        <w:t>, voltados a fornecer um panorama representativo das políticas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para o desenvolvimento da agropecuária sustentável.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</w:p>
    <w:p w:rsidR="00C0181E" w:rsidRPr="005E49C2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lastRenderedPageBreak/>
        <w:t>Primeiramente, segue uma breve análise de alguns indicadores formulados para acompanhamento do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programa Agropecuária Sustentável no âmbito do PPA 2016-2019. Nesse sentido, o ano de 2016 se encerra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com um valor bruto da produção dos principais produtos agropecuários de R$ 531 bilhões, 1,7% abaixo do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valor de 2015. As lavouras tiveram uma redução no valor, de (-) 1,0% e a pecuária sofreu uma redução de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(-) 3,0%. Nas lavouras, pesou mais nessa taxa, a retração de valor da produção de milho, algodão e tomate.</w:t>
      </w:r>
    </w:p>
    <w:p w:rsidR="00C0181E" w:rsidRPr="005E49C2" w:rsidRDefault="00C0181E" w:rsidP="00C0181E">
      <w:pPr>
        <w:autoSpaceDE w:val="0"/>
        <w:autoSpaceDN w:val="0"/>
        <w:adjustRightInd w:val="0"/>
        <w:spacing w:after="0" w:line="240" w:lineRule="auto"/>
        <w:rPr>
          <w:rFonts w:ascii="KorolevCondensed-Medium" w:hAnsi="KorolevCondensed-Medium" w:cs="KorolevCondensed-Medium"/>
          <w:color w:val="FFFFFF"/>
          <w:sz w:val="24"/>
          <w:szCs w:val="24"/>
        </w:rPr>
      </w:pPr>
      <w:r w:rsidRPr="005E49C2">
        <w:rPr>
          <w:rFonts w:ascii="KorolevCondensed-Medium" w:hAnsi="KorolevCondensed-Medium" w:cs="KorolevCondensed-Medium"/>
          <w:color w:val="FFFFFF"/>
          <w:sz w:val="24"/>
          <w:szCs w:val="24"/>
        </w:rPr>
        <w:t>269</w:t>
      </w:r>
    </w:p>
    <w:p w:rsidR="0049119E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Na pecuária, pesaram mais as carnes bovina e suína e o leite, bastante afetados pelos preços mais baixos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em 2016. Neste ano, as secas afetaram várias atividades no país, especialmente no Cerrado e na região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Nordeste. Os levantamentos da Companhia Nacional de Abastecimento (Conab) indicaram uma redução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da safra de grãos de 21,4 milhões de toneladas em relação a 2015, e o Instituto Brasileiro de Geografia e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Estatística (IBGE) registrou uma queda de produção de 25,8 milhões de toneladas de grãos. Esta foi a maior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quebra de safra registrada nos últimos 40 anos.</w:t>
      </w:r>
    </w:p>
    <w:p w:rsidR="0049119E" w:rsidRDefault="0049119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A67E95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As apólices aprovadas no Sistema de Subvenção Econômica ao Prêmio do Seguro Rural (SISSER) totalizaram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uma área de 5,6 milhões de hectares segurados pelo programa de Subvenção ao Prêmio do Seguro Rural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(PSR), no ano de 2016. Tendo por base a estimativa de área plantada pelo IBGE, o índice apurado para 2016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alcançou o patamar de 7,79% de área coberta pelo seguro rural subvencionado.</w:t>
      </w:r>
    </w:p>
    <w:p w:rsidR="00A67E95" w:rsidRDefault="00A67E95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A67E95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O PIB, no 3º trimestre de 2016, sofreu contração de 2,9%, quando comparado a igual período do ano</w:t>
      </w:r>
      <w:r w:rsidR="008A7AF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anterior, o décimo resultado negativo consecutivo nesta base de comparação. O Valor Adicionado a preços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básicos caiu 2,5% e os Impostos sobre Produtos Líquidos de Subsídios recuaram em 4,8%. Dentre as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atividades que contribuem para a geração do Valor Adicionado, a Agropecuária registrou queda de 6,0% em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relação a igual período do ano anterior. Este resultado pode ser explicado pelo desempenho de produtos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da lavoura no 3º trimestre e pela produtividade, visível na estimativa de variação da quantidade produzida.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Segundo o Levantamento Sistemático da Produção Agrícola (LSPA/IBGE), divulgado no mês de novembro,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algumas culturas apresentaram retração na estimativa de produção anual e perda de produtividade, a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exemplo do milho (-25,5%), algodão (-16,9%), laranja (-4,5%) e cana de açúcar (-2,0%). Cabe mencionar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que as culturas de café e mandioca, cujas safras também são significativas nesse trimestre, apontaram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crescimento na produção, estimado em 11,0% e 3,6%, respectivamente.</w:t>
      </w:r>
    </w:p>
    <w:p w:rsidR="00A67E95" w:rsidRDefault="00A67E95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A67E95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Segundo o IBGE, em 2016, a produção de grãos foi de 184,4 milhões de toneladas, o que representa uma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queda de 12,11% em relação a 2015, quando a produção foi de 209,4 milhões de toneladas. O traço mais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marcante do ano de 2016 foram as secas que afetaram várias atividades no país, especialmente no Cerrado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e na região Nordeste.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</w:p>
    <w:p w:rsidR="00A67E95" w:rsidRDefault="00A67E95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C0181E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A seguir, são apresentados os principais resultados relacionados a cada um dos objetivos do programa.</w:t>
      </w:r>
    </w:p>
    <w:p w:rsidR="003B7C8C" w:rsidRPr="005E49C2" w:rsidRDefault="003B7C8C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C0181E" w:rsidRPr="006410DA" w:rsidRDefault="00416075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sz w:val="32"/>
          <w:szCs w:val="32"/>
        </w:rPr>
      </w:pP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lastRenderedPageBreak/>
        <w:t xml:space="preserve">Cód. 0600 - </w:t>
      </w:r>
      <w:r w:rsidR="00C0181E"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Monitoramento Meteorológico e Climático e </w:t>
      </w:r>
      <w:r w:rsidR="00C0181E" w:rsidRPr="006410DA">
        <w:rPr>
          <w:rFonts w:ascii="KorolevCondensed-Bold" w:hAnsi="KorolevCondensed-Bold" w:cs="KorolevCondensed-Bold"/>
          <w:b/>
          <w:bCs/>
          <w:sz w:val="32"/>
          <w:szCs w:val="32"/>
        </w:rPr>
        <w:t>Sistemas de Previsão</w:t>
      </w:r>
    </w:p>
    <w:p w:rsidR="006410DA" w:rsidRPr="00A50741" w:rsidRDefault="006410DA" w:rsidP="006410DA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A50741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A50741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A50741">
        <w:rPr>
          <w:rFonts w:ascii="KorolevCondensed-Bold" w:hAnsi="KorolevCondensed-Bold" w:cs="KorolevCondensed-Bold"/>
          <w:bCs/>
          <w:sz w:val="28"/>
          <w:szCs w:val="28"/>
        </w:rPr>
        <w:t>esponsável: Ministério da Agricultura, Pecuária e Abastecimento - MAPA</w:t>
      </w:r>
    </w:p>
    <w:p w:rsidR="006410DA" w:rsidRPr="00A50741" w:rsidRDefault="006410DA" w:rsidP="006410DA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28"/>
          <w:szCs w:val="28"/>
        </w:rPr>
      </w:pPr>
    </w:p>
    <w:p w:rsidR="004A4A47" w:rsidRPr="00BD5187" w:rsidRDefault="004A4A47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16"/>
          <w:szCs w:val="16"/>
        </w:rPr>
      </w:pPr>
    </w:p>
    <w:p w:rsidR="005D546D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Em relação ao objetivo de aperfeiçoar o Monitoramento Meteorológico e Climático e os Sistemas de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Previsão de Tempo e Clima, com ênfase na disponibilidade dos dados históricos e em tempo real,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procurou-se dar continuidade, em 2016, à implementação de atividades que garantissem ampliar as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áreas de monitoramento meteorológico e o acesso público às informações meteorológicas e climáticas,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para melhor orientar as ações de diminuição do Risco Agrícola climático, da salvaguarda da vida e o uso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de informações meteorológicas e climáticas no apoio à decisão, desde o nível do produtor agrícola ao de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ações e políticas governamentais.</w:t>
      </w:r>
    </w:p>
    <w:p w:rsidR="005D546D" w:rsidRDefault="005D546D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C0181E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Sobre a meta de ampliar a rede de estações meteorológicas automáticas de superfície, a capacidade nacional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de coleta de dados Meteorológicos foi ampliada com a instalação de 32 novas estações meteorológicas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automáticas, que realizam coletas 24 horárias. No âmbito da Recuperação de Dados Históricos, houve em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2016 um crescimento substancial na oferta de dados meteorológicos históricos (41 milhões de dados).</w:t>
      </w:r>
    </w:p>
    <w:p w:rsidR="005D546D" w:rsidRPr="005E49C2" w:rsidRDefault="005D546D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C0181E" w:rsidRPr="005E49C2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Ressalta-se a ampliação do número de acessos ao Portal do Instituto Nacional de Meteorologia (INMET),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de um total de 5,5 milhões (registrado em 2015) para 7,35 milhões em 2016, sinalizando que a evolução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contínua da quantidade e qualidade dos produtos e serviços agrometeorológicos disponibilizados superou</w:t>
      </w:r>
    </w:p>
    <w:p w:rsidR="00C0181E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a expectativa da sociedade de forma muito positiva.</w:t>
      </w:r>
    </w:p>
    <w:p w:rsidR="003B7C8C" w:rsidRPr="005E49C2" w:rsidRDefault="003B7C8C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C0181E" w:rsidRDefault="00416075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Cód. 0601 - </w:t>
      </w:r>
      <w:r w:rsidR="00C0181E"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Mecanismos de Gestão de Riscos Climáticos para Agropecuária</w:t>
      </w:r>
    </w:p>
    <w:p w:rsidR="0051319B" w:rsidRDefault="0051319B" w:rsidP="0051319B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7C6D42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esponsável: Ministério da Agricultura, Pecuária e Abastecimento </w:t>
      </w:r>
      <w:r>
        <w:rPr>
          <w:rFonts w:ascii="KorolevCondensed-Bold" w:hAnsi="KorolevCondensed-Bold" w:cs="KorolevCondensed-Bold"/>
          <w:bCs/>
          <w:sz w:val="28"/>
          <w:szCs w:val="28"/>
        </w:rPr>
        <w:t>–</w:t>
      </w: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 MAPA</w:t>
      </w:r>
    </w:p>
    <w:p w:rsidR="0051319B" w:rsidRPr="0051319B" w:rsidRDefault="0051319B" w:rsidP="0051319B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</w:p>
    <w:p w:rsidR="005D546D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Para aperfeiçoar mecanismos de gestão de riscos climáticos e de proteção de renda para a atividade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agropecuária, com ênfase no seguro rural, faz-se necessária a consolidação de políticas específicas, que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atendam aos anseios dos produtores rurais, tais como as orientações do zoneamento agrícola e a concessão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da subvenção econômica ao prêmio do seguro rural.</w:t>
      </w:r>
    </w:p>
    <w:p w:rsidR="005D546D" w:rsidRDefault="005D546D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C0181E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Em 2016, visando maior transparência do programa de Subvenção ao Prêmio do Seguro Rural (PSR), foi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divulgado um relatório contendo as taxas médias de prêmio contratadas em 2015, de forma detalhada, por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modalidade do seguro (agrícola, florestas, pecuário), por tipo (custeio, produtividade, receita agrícola) e por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tipo de cobertura (multirrisco e riscos nomeados). Paralelamente, foram disponibilizadas as condições gerais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dos produtos de seguro subvencionáveis pelo PSR, separados por seguradoras e classificados em: custeio,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 xml:space="preserve">produtividade, receita agrícola, florestas e pecuário. Foram gastos, em 2016, o valor de R$ </w:t>
      </w:r>
      <w:r w:rsidRPr="005E49C2">
        <w:rPr>
          <w:rFonts w:ascii="Aller-Light" w:hAnsi="Aller-Light" w:cs="Aller-Light"/>
          <w:color w:val="434041"/>
          <w:sz w:val="24"/>
          <w:szCs w:val="24"/>
        </w:rPr>
        <w:lastRenderedPageBreak/>
        <w:t>398,6 milhões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em pagamento de subvenção, beneficiando aproximadamente 48 mil produtores rurais e proporcionando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cobertura securitária para 5,6 milhões de hectares. Além disso, o Comitê Gestor Interministerial do Seguro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Rural (CGSR) adequou os percentuais e limites de subvenção do PSR à nova realidade, visando alcançar um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número maior de beneficiários com os recursos disponíveis. Assim, em 2016, os percentuais de subvenção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passaram a variar entre 35% e 55% do prêmio do seguro, enquanto o limite individual, por ano civil,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passou a ser de R$ 72 mil para a modalidade agrícola e de R$ 24 mil para as demais modalidades.</w:t>
      </w:r>
    </w:p>
    <w:p w:rsidR="003B7C8C" w:rsidRPr="003B7C8C" w:rsidRDefault="003B7C8C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C0181E" w:rsidRDefault="00416075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Cód. </w:t>
      </w:r>
      <w:r w:rsidR="007001BC"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0618 - </w:t>
      </w:r>
      <w:r w:rsidR="00C0181E"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Crédito Rural</w:t>
      </w:r>
    </w:p>
    <w:p w:rsidR="0051319B" w:rsidRPr="0051319B" w:rsidRDefault="0051319B" w:rsidP="0051319B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7C6D42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51319B">
        <w:rPr>
          <w:rFonts w:ascii="KorolevCondensed-Bold" w:hAnsi="KorolevCondensed-Bold" w:cs="KorolevCondensed-Bold"/>
          <w:bCs/>
          <w:sz w:val="28"/>
          <w:szCs w:val="28"/>
        </w:rPr>
        <w:t>esponsável: Ministério da Agricultura, Pecuária e Abastecimento - MAPA</w:t>
      </w:r>
    </w:p>
    <w:p w:rsidR="007001BC" w:rsidRPr="00BD5187" w:rsidRDefault="007001BC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16"/>
          <w:szCs w:val="16"/>
        </w:rPr>
      </w:pPr>
    </w:p>
    <w:p w:rsidR="00C0181E" w:rsidRPr="00BD5187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BD5187">
        <w:rPr>
          <w:rFonts w:ascii="Aller-Light" w:hAnsi="Aller-Light" w:cs="Aller-Light"/>
          <w:color w:val="434041"/>
          <w:sz w:val="24"/>
          <w:szCs w:val="24"/>
        </w:rPr>
        <w:t>Quanto ao objetivo de ampliar a disponibilidade e o acesso aos recursos do crédito rural e a outras fontes</w:t>
      </w:r>
      <w:r w:rsidR="003B7C8C" w:rsidRPr="00BD518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BD5187">
        <w:rPr>
          <w:rFonts w:ascii="Aller-Light" w:hAnsi="Aller-Light" w:cs="Aller-Light"/>
          <w:color w:val="434041"/>
          <w:sz w:val="24"/>
          <w:szCs w:val="24"/>
        </w:rPr>
        <w:t>de financiamento, foram aplicados, no ano de 2016, R$ 139,890 bilhões para o financiamento da agricultura</w:t>
      </w:r>
      <w:r w:rsidR="003B7C8C" w:rsidRPr="00BD518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BD5187">
        <w:rPr>
          <w:rFonts w:ascii="Aller-Light" w:hAnsi="Aller-Light" w:cs="Aller-Light"/>
          <w:color w:val="434041"/>
          <w:sz w:val="24"/>
          <w:szCs w:val="24"/>
        </w:rPr>
        <w:t>empresarial. Desse total, R$ 109,166 bilhões foram destinados às operações de custeio e comercialização</w:t>
      </w:r>
      <w:r w:rsidR="003B7C8C" w:rsidRPr="00BD518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BD5187">
        <w:rPr>
          <w:rFonts w:ascii="Aller-Light" w:hAnsi="Aller-Light" w:cs="Aller-Light"/>
          <w:color w:val="434041"/>
          <w:sz w:val="24"/>
          <w:szCs w:val="24"/>
        </w:rPr>
        <w:t>e R$ 30,724 bilhões foram destinados às operações de investimento e industrialização. A relação entre</w:t>
      </w:r>
      <w:r w:rsidR="003B7C8C" w:rsidRPr="00BD518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BD5187">
        <w:rPr>
          <w:rFonts w:ascii="Aller-Light" w:hAnsi="Aller-Light" w:cs="Aller-Light"/>
          <w:color w:val="434041"/>
          <w:sz w:val="24"/>
          <w:szCs w:val="24"/>
        </w:rPr>
        <w:t>o montante dos recursos disponibilizados para o crédito rural e os valores efetivamente contratados</w:t>
      </w:r>
      <w:r w:rsidR="005D546D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BD5187">
        <w:rPr>
          <w:rFonts w:ascii="Aller-Light" w:hAnsi="Aller-Light" w:cs="Aller-Light"/>
          <w:color w:val="434041"/>
          <w:sz w:val="24"/>
          <w:szCs w:val="24"/>
        </w:rPr>
        <w:t>historicamente manteve-se relativamente estável. O desembolso do crédito nas regiões Norte e Nordeste</w:t>
      </w:r>
      <w:r w:rsidR="003B7C8C" w:rsidRPr="00BD5187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BD5187">
        <w:rPr>
          <w:rFonts w:ascii="Aller-Light" w:hAnsi="Aller-Light" w:cs="Aller-Light"/>
          <w:color w:val="434041"/>
          <w:sz w:val="24"/>
          <w:szCs w:val="24"/>
        </w:rPr>
        <w:t xml:space="preserve">foi menor que o do ano anterior, em parte pela forte seca causada pela influência do </w:t>
      </w:r>
      <w:r w:rsidRPr="00BD5187">
        <w:rPr>
          <w:rFonts w:ascii="Aller-LightItalic" w:hAnsi="Aller-LightItalic" w:cs="Aller-LightItalic"/>
          <w:i/>
          <w:iCs/>
          <w:color w:val="434041"/>
          <w:sz w:val="24"/>
          <w:szCs w:val="24"/>
        </w:rPr>
        <w:t>El niño</w:t>
      </w:r>
      <w:r w:rsidRPr="00BD5187">
        <w:rPr>
          <w:rFonts w:ascii="Aller-Light" w:hAnsi="Aller-Light" w:cs="Aller-Light"/>
          <w:color w:val="434041"/>
          <w:sz w:val="24"/>
          <w:szCs w:val="24"/>
        </w:rPr>
        <w:t>.</w:t>
      </w:r>
    </w:p>
    <w:p w:rsidR="007001BC" w:rsidRPr="005D546D" w:rsidRDefault="007001BC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24"/>
          <w:szCs w:val="24"/>
        </w:rPr>
      </w:pPr>
    </w:p>
    <w:p w:rsidR="00C0181E" w:rsidRPr="007001BC" w:rsidRDefault="007001BC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Cód. 0661 - </w:t>
      </w:r>
      <w:r w:rsidR="00C0181E"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Cafeicultura Sustentável</w:t>
      </w:r>
    </w:p>
    <w:p w:rsidR="0051319B" w:rsidRPr="0051319B" w:rsidRDefault="0051319B" w:rsidP="0051319B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7C6D42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51319B">
        <w:rPr>
          <w:rFonts w:ascii="KorolevCondensed-Bold" w:hAnsi="KorolevCondensed-Bold" w:cs="KorolevCondensed-Bold"/>
          <w:bCs/>
          <w:sz w:val="28"/>
          <w:szCs w:val="28"/>
        </w:rPr>
        <w:t>esponsável: Ministério da Agricultura, Pecuária e Abastecimento - MAPA</w:t>
      </w:r>
    </w:p>
    <w:p w:rsidR="007001BC" w:rsidRPr="005D546D" w:rsidRDefault="007001BC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20"/>
          <w:szCs w:val="20"/>
        </w:rPr>
      </w:pPr>
    </w:p>
    <w:p w:rsidR="00C0181E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Em relação ao objetivo de desenvolver a cafeicultura de maneira sustentável, com geração de emprego,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renda e divisas, destaca-se que o Brasil desenvolve o maior programa mundial de pesquisas de café,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com geração de tecnologias que promovem sustentabilidade, competitividade, inovação e incremento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tecnológico da cafeicultura brasileira. No âmbito do Fundo de Defesa da Economia Cafeeira, destaca-se que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foram disponibilizadas linhas de crédito no valor de até R$ 4,63 bilhões, para financiamento de custeio,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estocagem, contratos de opções e de operações em mercados futuros, capital de giro para indústrias de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café solúvel, de torrefação e cooperativas de produção, e recuperação de cafezais danificados. Deste valor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foram empenhados R$ 4,17 bilhões e efetivamente pagos R$ 3,53 bilhões, volume registrado como valor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alcançado dessa meta no PPA; contudo, ressalta-se que a execução dos valores que foram empenhados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ultrapassa o exercício de contratação até julho do ano posterior. Cabe citar ainda o apoio à Empresa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Brasileira de Pesquisa Agropecuária (Embrapa) para a execução de 92 projetos de pesquisa e capacitação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de técnicos, por meio de concessão de bolsas do Consórcio Pesquisa Café, além de apoio à Conab para a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realização dos levantamentos da safra de café.</w:t>
      </w:r>
    </w:p>
    <w:p w:rsidR="003B7C8C" w:rsidRPr="003B7C8C" w:rsidRDefault="003B7C8C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51319B" w:rsidRDefault="0051319B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</w:p>
    <w:p w:rsidR="00C0181E" w:rsidRPr="007001BC" w:rsidRDefault="007001BC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lastRenderedPageBreak/>
        <w:t xml:space="preserve">Cód. 0743 - </w:t>
      </w:r>
      <w:r w:rsidR="00C0181E"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Agricultura de Baixa Emissão de Carbono (ABC)</w:t>
      </w:r>
    </w:p>
    <w:p w:rsidR="0051319B" w:rsidRPr="0051319B" w:rsidRDefault="0051319B" w:rsidP="0051319B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7C6D42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51319B">
        <w:rPr>
          <w:rFonts w:ascii="KorolevCondensed-Bold" w:hAnsi="KorolevCondensed-Bold" w:cs="KorolevCondensed-Bold"/>
          <w:bCs/>
          <w:sz w:val="28"/>
          <w:szCs w:val="28"/>
        </w:rPr>
        <w:t>esponsável: Ministério da Agricultura, Pecuária e Abastecimento - MAPA</w:t>
      </w:r>
    </w:p>
    <w:p w:rsidR="003B7C8C" w:rsidRPr="003B7C8C" w:rsidRDefault="003B7C8C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000000"/>
          <w:sz w:val="16"/>
          <w:szCs w:val="16"/>
        </w:rPr>
      </w:pPr>
    </w:p>
    <w:p w:rsidR="005D546D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No sentido de promover o conhecimento e elevar a adoção da agricultura de baixa emissão de carbono, 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governo federal vem implementando no território nacional o Plano Agricultura de Baixa Emissão de Carbono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(ABC), uma política pública de grande importância para o Brasil, pois promove a sustentabilidade para o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setor agropecuário e está alinhado à Política Nacional de Mudanças sobre o Clima (Lei 12.187/2009).</w:t>
      </w:r>
    </w:p>
    <w:p w:rsidR="005D546D" w:rsidRDefault="005D546D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C0181E" w:rsidRPr="005E49C2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O Brasil se comprometeu a reduzir as emissões dos gases efeito estufa, até 2020, entre 36,1% e 38,9%,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deixando de emitir cerca de 1 bilhão de toneladas de CO2, reduzindo as taxas de desmatamento, ampliando</w:t>
      </w:r>
    </w:p>
    <w:p w:rsidR="00C0181E" w:rsidRPr="005E49C2" w:rsidRDefault="00C0181E" w:rsidP="003B7C8C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a eficiência energética e adotando práticas e sistemas de uso e manejo sustentáveis dos recursos naturais.</w:t>
      </w:r>
    </w:p>
    <w:p w:rsidR="00C0181E" w:rsidRDefault="00C0181E" w:rsidP="007001BC">
      <w:pPr>
        <w:autoSpaceDE w:val="0"/>
        <w:autoSpaceDN w:val="0"/>
        <w:adjustRightInd w:val="0"/>
        <w:spacing w:after="0" w:line="240" w:lineRule="auto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O Plano ABC já investiu no campo cerca de R$ 13,2 bilhões, com um total de 28,5 mil contratos firmados com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produtores rurais para implementação das tecnologias de baixa emissão de carbono. Existem atualmente</w:t>
      </w:r>
      <w:r w:rsidR="003B7C8C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22 Planos estaduais de ABC elaborados.</w:t>
      </w:r>
    </w:p>
    <w:p w:rsidR="003B7C8C" w:rsidRPr="005E49C2" w:rsidRDefault="003B7C8C" w:rsidP="007001BC">
      <w:pPr>
        <w:autoSpaceDE w:val="0"/>
        <w:autoSpaceDN w:val="0"/>
        <w:adjustRightInd w:val="0"/>
        <w:spacing w:after="0" w:line="240" w:lineRule="auto"/>
        <w:rPr>
          <w:rFonts w:ascii="Aller-Light" w:hAnsi="Aller-Light" w:cs="Aller-Light"/>
          <w:color w:val="434041"/>
          <w:sz w:val="24"/>
          <w:szCs w:val="24"/>
        </w:rPr>
      </w:pPr>
    </w:p>
    <w:p w:rsidR="00C0181E" w:rsidRPr="007001BC" w:rsidRDefault="007001BC" w:rsidP="007001BC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Cód. 0747 - </w:t>
      </w:r>
      <w:r w:rsidR="00C0181E"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Cooperativismo e Associativismo Rural</w:t>
      </w:r>
    </w:p>
    <w:p w:rsidR="0051319B" w:rsidRPr="0051319B" w:rsidRDefault="0051319B" w:rsidP="0051319B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7C6D42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51319B">
        <w:rPr>
          <w:rFonts w:ascii="KorolevCondensed-Bold" w:hAnsi="KorolevCondensed-Bold" w:cs="KorolevCondensed-Bold"/>
          <w:bCs/>
          <w:sz w:val="28"/>
          <w:szCs w:val="28"/>
        </w:rPr>
        <w:t>esponsável: Ministério da Agricultura, Pecuária e Abastecimento - MAPA</w:t>
      </w:r>
    </w:p>
    <w:p w:rsidR="003B7C8C" w:rsidRPr="003B7C8C" w:rsidRDefault="003B7C8C" w:rsidP="007001BC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24"/>
          <w:szCs w:val="24"/>
        </w:rPr>
      </w:pPr>
    </w:p>
    <w:p w:rsidR="00C0181E" w:rsidRPr="005E49C2" w:rsidRDefault="00C0181E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Fortalecer o cooperativismo e o associativismo rural visando a melhoria da qualidade de vida, organização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e sustentabilidade da base produtiva, geração de trabalho, emprego e renda, inclusão social e redução das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desigualdades regionais é essencial para melhoria da qualidade de vida, da organização e sustentabilidade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da base produtiva. Os desafios para a manutenção e abertura de espaços no mercado exigirão esforços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e investimentos em inovação, criatividade, segurança e qualidade alimentar. Nesse sentido, destaca-se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 implementação do programa de Produção Integrada de Sistemas Agropecuários em Cooperativismo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e Associativismo Rural (Pisacoop), que dissemina tecnologias de produção sustentáveis e de gestão da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propriedade rural e incentiva a adoção do cooperativismo, gerando emprego, renda e melhoria da qualidade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de vida dos agricultores.</w:t>
      </w:r>
    </w:p>
    <w:p w:rsidR="00C0181E" w:rsidRDefault="00C0181E" w:rsidP="00C0181E">
      <w:pPr>
        <w:autoSpaceDE w:val="0"/>
        <w:autoSpaceDN w:val="0"/>
        <w:adjustRightInd w:val="0"/>
        <w:spacing w:after="0" w:line="240" w:lineRule="auto"/>
        <w:rPr>
          <w:rFonts w:ascii="KorolevCondensed-Medium" w:hAnsi="KorolevCondensed-Medium" w:cs="KorolevCondensed-Medium"/>
          <w:color w:val="FFFFFF"/>
          <w:sz w:val="24"/>
          <w:szCs w:val="24"/>
        </w:rPr>
      </w:pPr>
      <w:r>
        <w:rPr>
          <w:rFonts w:ascii="KorolevCondensed-Medium" w:hAnsi="KorolevCondensed-Medium" w:cs="KorolevCondensed-Medium"/>
          <w:color w:val="FFFFFF"/>
          <w:sz w:val="24"/>
          <w:szCs w:val="24"/>
        </w:rPr>
        <w:t>272</w:t>
      </w:r>
    </w:p>
    <w:p w:rsidR="00C0181E" w:rsidRPr="007001BC" w:rsidRDefault="007001BC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Cód.</w:t>
      </w:r>
      <w:r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 0750 - </w:t>
      </w: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 </w:t>
      </w:r>
      <w:r w:rsidR="00C0181E"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Biomassa Agropecuária</w:t>
      </w:r>
    </w:p>
    <w:p w:rsidR="0051319B" w:rsidRPr="0051319B" w:rsidRDefault="0051319B" w:rsidP="0051319B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7C6D42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51319B">
        <w:rPr>
          <w:rFonts w:ascii="KorolevCondensed-Bold" w:hAnsi="KorolevCondensed-Bold" w:cs="KorolevCondensed-Bold"/>
          <w:bCs/>
          <w:sz w:val="28"/>
          <w:szCs w:val="28"/>
        </w:rPr>
        <w:t>esponsável: Ministério da Agricultura, Pecuária e Abastecimento - MAPA</w:t>
      </w:r>
    </w:p>
    <w:p w:rsidR="002238BB" w:rsidRPr="002238BB" w:rsidRDefault="002238BB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16"/>
          <w:szCs w:val="16"/>
        </w:rPr>
      </w:pPr>
    </w:p>
    <w:p w:rsidR="005D546D" w:rsidRDefault="00C0181E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A necessidade de ampliar e diversificar a produção de biomassa agropecuária, com ênfase em cultivos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agroenergéticos e florestas plantadas para aumentar a participação de fontes renováveis na matriz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 xml:space="preserve">energética elevou a agroenergia ao destaque mundial. O Brasil, atualmente, é o segundo maior </w:t>
      </w:r>
      <w:r w:rsidR="008A7AFC" w:rsidRPr="005E49C2">
        <w:rPr>
          <w:rFonts w:ascii="Aller-Light" w:hAnsi="Aller-Light" w:cs="Aller-Light"/>
          <w:color w:val="434041"/>
          <w:sz w:val="24"/>
          <w:szCs w:val="24"/>
        </w:rPr>
        <w:t>produtor</w:t>
      </w:r>
      <w:r w:rsidR="008A7AFC">
        <w:rPr>
          <w:rFonts w:ascii="Aller-Light" w:hAnsi="Aller-Light" w:cs="Aller-Light"/>
          <w:color w:val="434041"/>
          <w:sz w:val="24"/>
          <w:szCs w:val="24"/>
        </w:rPr>
        <w:t xml:space="preserve"> de</w:t>
      </w:r>
      <w:r w:rsidRPr="005E49C2">
        <w:rPr>
          <w:rFonts w:ascii="Aller-Light" w:hAnsi="Aller-Light" w:cs="Aller-Light"/>
          <w:color w:val="434041"/>
          <w:sz w:val="24"/>
          <w:szCs w:val="24"/>
        </w:rPr>
        <w:t xml:space="preserve"> biocombustíveis, superado apenas pelos Estados Unidos. No contexto interno, a participação dos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 xml:space="preserve">biocombustíveis é decisiva para manter o alto índice de </w:t>
      </w:r>
      <w:r w:rsidRPr="005E49C2">
        <w:rPr>
          <w:rFonts w:ascii="Aller-Light" w:hAnsi="Aller-Light" w:cs="Aller-Light"/>
          <w:color w:val="434041"/>
          <w:sz w:val="24"/>
          <w:szCs w:val="24"/>
        </w:rPr>
        <w:lastRenderedPageBreak/>
        <w:t>renováveis na matriz energética. Aproximadamente,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26,1% de toda a energia ofertada internamente é originária da agricultura (16, 9% de cana e derivados,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8,2% de lenha e carvão vegetal e 1% de biodiesel), segundo o Balanço Energético Nacional 2016.</w:t>
      </w:r>
    </w:p>
    <w:p w:rsidR="005D546D" w:rsidRDefault="005D546D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C0181E" w:rsidRDefault="00C0181E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As medidas adotadas em 2016 em benefício do setor sucroenergético visaram estimular o crescimento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da produção, dentre as quais destaca-se o PRORENOVA – BNDES, linha de financiamento para expansão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da produção via renovação de canaviais com baixa produtividade e implantação de novos. Foram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disponibilizados R$ 1,5 bilhão. Para o setor sucroenergético, a safra 2016/2017 não irá apresentar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mudanças significativas em sua área plantada, com cerca de 9 milhões de hectares. A produção esperada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de cana-de-açúcar deverá atingir 684,8 milhões de toneladas, um aumento de 2,9% com relação à safra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anterior. Tal crescimento será viabilizado pelo aumento da produtividade da cana-de-açúcar da ordem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de 0,8% na safra atual. Esta matéria prima permitirá a produção de 27,8 bilhões de litros de etanol e 40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milhões de toneladas de açúcar.</w:t>
      </w:r>
    </w:p>
    <w:p w:rsidR="00CB36B2" w:rsidRPr="00CB36B2" w:rsidRDefault="00CB36B2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2238BB" w:rsidRPr="007001BC" w:rsidRDefault="002238BB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16"/>
          <w:szCs w:val="16"/>
        </w:rPr>
      </w:pPr>
    </w:p>
    <w:p w:rsidR="005D546D" w:rsidRDefault="005D546D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</w:p>
    <w:p w:rsidR="00C0181E" w:rsidRPr="007001BC" w:rsidRDefault="007001BC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Cód. 1042 - </w:t>
      </w:r>
      <w:r w:rsidR="00C0181E"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Sistemas de Produção Agropecuária Sustentável</w:t>
      </w:r>
    </w:p>
    <w:p w:rsidR="0051319B" w:rsidRPr="0051319B" w:rsidRDefault="0051319B" w:rsidP="0051319B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7C6D42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51319B">
        <w:rPr>
          <w:rFonts w:ascii="KorolevCondensed-Bold" w:hAnsi="KorolevCondensed-Bold" w:cs="KorolevCondensed-Bold"/>
          <w:bCs/>
          <w:sz w:val="28"/>
          <w:szCs w:val="28"/>
        </w:rPr>
        <w:t>esponsável: Ministério da Agricultura, Pecuária e Abastecimento - MAPA</w:t>
      </w:r>
    </w:p>
    <w:p w:rsidR="00CB36B2" w:rsidRPr="00CB36B2" w:rsidRDefault="00CB36B2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16"/>
          <w:szCs w:val="16"/>
        </w:rPr>
      </w:pPr>
    </w:p>
    <w:p w:rsidR="00C0181E" w:rsidRDefault="00C0181E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Quanto ao objetivo de disseminar sistemas de produção agropecuária sustentável, com agregação de valor e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renda, segurança do alimento, valorização de origem e conservação dos recursos naturais, foram implementados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187 projetos de fomento com foco na implementação de Boas Práticas Agropecuárias, com 26.071 produtores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beneficiados diretamente e outros 14.932 produtores e técnicos beneficiados indiretamente. Além disso, está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em andamento a capacitação de 16.636 profissionais (técnicos e produtores rurais).</w:t>
      </w:r>
    </w:p>
    <w:p w:rsidR="00CB36B2" w:rsidRDefault="00CB36B2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4A140C" w:rsidRDefault="004A140C" w:rsidP="004A140C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Cód. 104</w:t>
      </w:r>
      <w:r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8</w:t>
      </w: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 </w:t>
      </w:r>
      <w:r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–</w:t>
      </w: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 </w:t>
      </w:r>
      <w:r w:rsidR="00B26035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Agroecologia e Produção Orgânica</w:t>
      </w:r>
    </w:p>
    <w:p w:rsidR="004A140C" w:rsidRDefault="004A140C" w:rsidP="004A140C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esponsável: Ministério da Agricultura, Pecuária e Abastecimento </w:t>
      </w:r>
      <w:r>
        <w:rPr>
          <w:rFonts w:ascii="KorolevCondensed-Bold" w:hAnsi="KorolevCondensed-Bold" w:cs="KorolevCondensed-Bold"/>
          <w:bCs/>
          <w:sz w:val="28"/>
          <w:szCs w:val="28"/>
        </w:rPr>
        <w:t>–</w:t>
      </w: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 MAPA</w:t>
      </w:r>
    </w:p>
    <w:p w:rsidR="004A140C" w:rsidRDefault="004A140C" w:rsidP="004A140C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</w:p>
    <w:p w:rsidR="00947656" w:rsidRPr="00427116" w:rsidRDefault="00947656" w:rsidP="009476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2807">
        <w:rPr>
          <w:rFonts w:ascii="Arial" w:hAnsi="Arial" w:cs="Arial"/>
          <w:bCs/>
          <w:sz w:val="24"/>
          <w:szCs w:val="24"/>
        </w:rPr>
        <w:t xml:space="preserve">Quanto </w:t>
      </w:r>
      <w:r>
        <w:rPr>
          <w:rFonts w:ascii="Arial" w:hAnsi="Arial" w:cs="Arial"/>
          <w:bCs/>
          <w:sz w:val="24"/>
          <w:szCs w:val="24"/>
        </w:rPr>
        <w:t>ao objetivo de promover e induzir a transição agroecológica e a produção orgânica e de base agroecológica, por meio do uso sustentável dos recursos naturais e da oferta e consumo de alimentos saudáveis, r</w:t>
      </w:r>
      <w:r w:rsidRPr="00427116">
        <w:rPr>
          <w:rFonts w:ascii="Arial" w:hAnsi="Arial" w:cs="Arial"/>
          <w:sz w:val="24"/>
          <w:szCs w:val="24"/>
        </w:rPr>
        <w:t>egistrou-se um acumulado de 15.590 Unidades de Produção Orgânica</w:t>
      </w:r>
      <w:r>
        <w:rPr>
          <w:rFonts w:ascii="Arial" w:hAnsi="Arial" w:cs="Arial"/>
          <w:sz w:val="24"/>
          <w:szCs w:val="24"/>
        </w:rPr>
        <w:t>,</w:t>
      </w:r>
      <w:r w:rsidRPr="004271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sendo </w:t>
      </w:r>
      <w:r w:rsidRPr="00427116">
        <w:rPr>
          <w:rFonts w:ascii="Arial" w:hAnsi="Arial" w:cs="Arial"/>
          <w:sz w:val="24"/>
          <w:szCs w:val="24"/>
        </w:rPr>
        <w:t>2.108 unidades</w:t>
      </w:r>
      <w:r>
        <w:rPr>
          <w:rFonts w:ascii="Arial" w:hAnsi="Arial" w:cs="Arial"/>
          <w:sz w:val="24"/>
          <w:szCs w:val="24"/>
        </w:rPr>
        <w:t xml:space="preserve"> implantadas em 2016.</w:t>
      </w:r>
      <w:r w:rsidRPr="00427116">
        <w:rPr>
          <w:rFonts w:ascii="Arial" w:hAnsi="Arial" w:cs="Arial"/>
          <w:sz w:val="24"/>
          <w:szCs w:val="24"/>
        </w:rPr>
        <w:t xml:space="preserve"> </w:t>
      </w:r>
    </w:p>
    <w:p w:rsidR="00947656" w:rsidRPr="00427116" w:rsidRDefault="00947656" w:rsidP="009476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Foram i</w:t>
      </w:r>
      <w:r w:rsidRPr="00427116">
        <w:rPr>
          <w:rFonts w:ascii="Arial" w:hAnsi="Arial" w:cs="Arial"/>
          <w:sz w:val="24"/>
          <w:szCs w:val="24"/>
        </w:rPr>
        <w:t>mplanta</w:t>
      </w:r>
      <w:r>
        <w:rPr>
          <w:rFonts w:ascii="Arial" w:hAnsi="Arial" w:cs="Arial"/>
          <w:sz w:val="24"/>
          <w:szCs w:val="24"/>
        </w:rPr>
        <w:t>dos</w:t>
      </w:r>
      <w:r w:rsidRPr="004271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427116">
        <w:rPr>
          <w:rFonts w:ascii="Arial" w:hAnsi="Arial" w:cs="Arial"/>
          <w:sz w:val="24"/>
          <w:szCs w:val="24"/>
        </w:rPr>
        <w:t>8 Núcleos de Estudo em Agroecologia</w:t>
      </w:r>
      <w:r>
        <w:rPr>
          <w:rFonts w:ascii="Arial" w:hAnsi="Arial" w:cs="Arial"/>
          <w:sz w:val="24"/>
          <w:szCs w:val="24"/>
        </w:rPr>
        <w:t xml:space="preserve"> - NEAs</w:t>
      </w:r>
      <w:r w:rsidRPr="00427116">
        <w:rPr>
          <w:rFonts w:ascii="Arial" w:hAnsi="Arial" w:cs="Arial"/>
          <w:sz w:val="24"/>
          <w:szCs w:val="24"/>
        </w:rPr>
        <w:t xml:space="preserve"> e Produção Orgânica e Centros Vocacionais Tecnológicos em Institutos Federais de Educação</w:t>
      </w:r>
      <w:r>
        <w:rPr>
          <w:rFonts w:ascii="Arial" w:hAnsi="Arial" w:cs="Arial"/>
          <w:sz w:val="24"/>
          <w:szCs w:val="24"/>
        </w:rPr>
        <w:t xml:space="preserve">; </w:t>
      </w:r>
      <w:r w:rsidRPr="00427116">
        <w:rPr>
          <w:rFonts w:ascii="Arial" w:hAnsi="Arial" w:cs="Arial"/>
          <w:sz w:val="24"/>
          <w:szCs w:val="24"/>
        </w:rPr>
        <w:t>apoi</w:t>
      </w:r>
      <w:r>
        <w:rPr>
          <w:rFonts w:ascii="Arial" w:hAnsi="Arial" w:cs="Arial"/>
          <w:sz w:val="24"/>
          <w:szCs w:val="24"/>
        </w:rPr>
        <w:t>ados</w:t>
      </w:r>
      <w:r w:rsidRPr="00427116">
        <w:rPr>
          <w:rFonts w:ascii="Arial" w:hAnsi="Arial" w:cs="Arial"/>
          <w:sz w:val="24"/>
          <w:szCs w:val="24"/>
        </w:rPr>
        <w:t xml:space="preserve"> 44 projetos de</w:t>
      </w:r>
      <w:r>
        <w:rPr>
          <w:rFonts w:ascii="Arial" w:hAnsi="Arial" w:cs="Arial"/>
          <w:sz w:val="24"/>
          <w:szCs w:val="24"/>
        </w:rPr>
        <w:t xml:space="preserve"> NEAs</w:t>
      </w:r>
      <w:r w:rsidRPr="004271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Pr="00427116">
        <w:rPr>
          <w:rFonts w:ascii="Arial" w:hAnsi="Arial" w:cs="Arial"/>
          <w:sz w:val="24"/>
          <w:szCs w:val="24"/>
        </w:rPr>
        <w:t>implement</w:t>
      </w:r>
      <w:r>
        <w:rPr>
          <w:rFonts w:ascii="Arial" w:hAnsi="Arial" w:cs="Arial"/>
          <w:sz w:val="24"/>
          <w:szCs w:val="24"/>
        </w:rPr>
        <w:t>ado</w:t>
      </w:r>
      <w:r w:rsidRPr="00427116">
        <w:rPr>
          <w:rFonts w:ascii="Arial" w:hAnsi="Arial" w:cs="Arial"/>
          <w:sz w:val="24"/>
          <w:szCs w:val="24"/>
        </w:rPr>
        <w:t xml:space="preserve"> o projeto “Fichas Agroecológicas: Tecnologias Apropriadas para a Produção Orgânica” </w:t>
      </w:r>
      <w:r>
        <w:rPr>
          <w:rFonts w:ascii="Arial" w:hAnsi="Arial" w:cs="Arial"/>
          <w:sz w:val="24"/>
          <w:szCs w:val="24"/>
        </w:rPr>
        <w:t>,</w:t>
      </w:r>
      <w:r w:rsidRPr="00427116">
        <w:rPr>
          <w:rFonts w:ascii="Arial" w:hAnsi="Arial" w:cs="Arial"/>
          <w:sz w:val="24"/>
          <w:szCs w:val="24"/>
        </w:rPr>
        <w:t>103 fichas foram diagramadas e impressas e estão disponíveis por meio eletrônico para que possam servir de subsídio para aqueles que buscam trabalhar e promover a produção orgânica e de base agroecológica</w:t>
      </w:r>
      <w:r>
        <w:rPr>
          <w:rFonts w:ascii="Arial" w:hAnsi="Arial" w:cs="Arial"/>
          <w:sz w:val="24"/>
          <w:szCs w:val="24"/>
        </w:rPr>
        <w:t>.</w:t>
      </w:r>
    </w:p>
    <w:p w:rsidR="004A140C" w:rsidRPr="00CB36B2" w:rsidRDefault="004A140C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C0181E" w:rsidRPr="007001BC" w:rsidRDefault="007001BC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lastRenderedPageBreak/>
        <w:t xml:space="preserve">Cód. 1049 - </w:t>
      </w:r>
      <w:r w:rsidR="00C0181E"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Agricultura Irrigada</w:t>
      </w:r>
    </w:p>
    <w:p w:rsidR="0051319B" w:rsidRPr="0051319B" w:rsidRDefault="0051319B" w:rsidP="0051319B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F8380D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51319B">
        <w:rPr>
          <w:rFonts w:ascii="KorolevCondensed-Bold" w:hAnsi="KorolevCondensed-Bold" w:cs="KorolevCondensed-Bold"/>
          <w:bCs/>
          <w:sz w:val="28"/>
          <w:szCs w:val="28"/>
        </w:rPr>
        <w:t>esponsável: Ministério da Agricultura, Pecuária e Abastecimento - MAPA</w:t>
      </w:r>
    </w:p>
    <w:p w:rsidR="00CB36B2" w:rsidRPr="00CB36B2" w:rsidRDefault="00CB36B2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16"/>
          <w:szCs w:val="16"/>
        </w:rPr>
      </w:pPr>
    </w:p>
    <w:p w:rsidR="00C0181E" w:rsidRPr="005E49C2" w:rsidRDefault="00C0181E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No tocante ao objetivo de desenvolver a agropecuária irrigada de forma econômica, social e ambientalmente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sustentável, com racionalização dos recursos hídricos, verificou-se um aumento de 199 mil hectares de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área irrigada pela iniciativa privada. A irrigação se constitui no principal item para a modernização da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agropecuária brasileira, possibilitando maior produção, maiores níveis de produtividade, melhor qualidade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e valor agregado dos produtos, com reflexos econômicos, sociais e ambientais altamente significativos. A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meta de incorporar 1,5 milhão de hectares irrigados às áreas de produção agropecuária é coerente com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a tendência verificada no PPA anterior, onde foram incorporados ao processo produtivo agrícola 900 mil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hectares irrigados, contribuindo para a elevação das safras agrícolas daquele período.</w:t>
      </w:r>
    </w:p>
    <w:p w:rsidR="0051319B" w:rsidRDefault="0051319B" w:rsidP="00C0181E">
      <w:pPr>
        <w:autoSpaceDE w:val="0"/>
        <w:autoSpaceDN w:val="0"/>
        <w:adjustRightInd w:val="0"/>
        <w:spacing w:after="0" w:line="240" w:lineRule="auto"/>
        <w:rPr>
          <w:rFonts w:ascii="KorolevCondensed-Medium" w:hAnsi="KorolevCondensed-Medium" w:cs="KorolevCondensed-Medium"/>
          <w:color w:val="FFFFFF"/>
          <w:sz w:val="16"/>
          <w:szCs w:val="16"/>
        </w:rPr>
      </w:pPr>
    </w:p>
    <w:p w:rsidR="00C0181E" w:rsidRPr="005E49C2" w:rsidRDefault="00C0181E" w:rsidP="00C0181E">
      <w:pPr>
        <w:autoSpaceDE w:val="0"/>
        <w:autoSpaceDN w:val="0"/>
        <w:adjustRightInd w:val="0"/>
        <w:spacing w:after="0" w:line="240" w:lineRule="auto"/>
        <w:rPr>
          <w:rFonts w:ascii="KorolevCondensed-Medium" w:hAnsi="KorolevCondensed-Medium" w:cs="KorolevCondensed-Medium"/>
          <w:color w:val="FFFFFF"/>
          <w:sz w:val="24"/>
          <w:szCs w:val="24"/>
        </w:rPr>
      </w:pPr>
      <w:r w:rsidRPr="00CB36B2">
        <w:rPr>
          <w:rFonts w:ascii="KorolevCondensed-Medium" w:hAnsi="KorolevCondensed-Medium" w:cs="KorolevCondensed-Medium"/>
          <w:color w:val="FFFFFF"/>
          <w:sz w:val="16"/>
          <w:szCs w:val="16"/>
        </w:rPr>
        <w:t>273</w:t>
      </w:r>
    </w:p>
    <w:p w:rsidR="00CB36B2" w:rsidRPr="00CB36B2" w:rsidRDefault="00CB36B2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7001BC" w:rsidRDefault="007001BC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20"/>
          <w:szCs w:val="20"/>
        </w:rPr>
      </w:pPr>
    </w:p>
    <w:p w:rsidR="004A140C" w:rsidRDefault="004A140C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20"/>
          <w:szCs w:val="20"/>
        </w:rPr>
      </w:pPr>
    </w:p>
    <w:p w:rsidR="004A140C" w:rsidRDefault="004A140C" w:rsidP="004A140C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Cód. 105</w:t>
      </w:r>
      <w:r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0</w:t>
      </w: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 </w:t>
      </w:r>
      <w:r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–</w:t>
      </w: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 </w:t>
      </w:r>
      <w:r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Desenvolvimento Econômico e Social dos Produtores Rurais da C</w:t>
      </w:r>
      <w:r w:rsidR="005B5354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l</w:t>
      </w:r>
      <w:r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asse C e D</w:t>
      </w:r>
    </w:p>
    <w:p w:rsidR="004A140C" w:rsidRDefault="004A140C" w:rsidP="004A140C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esponsável: Ministério da Agricultura, Pecuária e Abastecimento </w:t>
      </w:r>
      <w:r>
        <w:rPr>
          <w:rFonts w:ascii="KorolevCondensed-Bold" w:hAnsi="KorolevCondensed-Bold" w:cs="KorolevCondensed-Bold"/>
          <w:bCs/>
          <w:sz w:val="28"/>
          <w:szCs w:val="28"/>
        </w:rPr>
        <w:t>–</w:t>
      </w: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 MAPA</w:t>
      </w:r>
    </w:p>
    <w:p w:rsidR="004A140C" w:rsidRDefault="004A140C" w:rsidP="004A140C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</w:p>
    <w:p w:rsidR="005B5354" w:rsidRPr="00427116" w:rsidRDefault="005B5354" w:rsidP="005B53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427116">
        <w:rPr>
          <w:rFonts w:ascii="Arial" w:hAnsi="Arial" w:cs="Arial"/>
          <w:sz w:val="24"/>
          <w:szCs w:val="24"/>
        </w:rPr>
        <w:t>irmou</w:t>
      </w:r>
      <w:r>
        <w:rPr>
          <w:rFonts w:ascii="Arial" w:hAnsi="Arial" w:cs="Arial"/>
          <w:sz w:val="24"/>
          <w:szCs w:val="24"/>
        </w:rPr>
        <w:t>-se</w:t>
      </w:r>
      <w:r w:rsidRPr="00427116">
        <w:rPr>
          <w:rFonts w:ascii="Arial" w:hAnsi="Arial" w:cs="Arial"/>
          <w:sz w:val="24"/>
          <w:szCs w:val="24"/>
        </w:rPr>
        <w:t xml:space="preserve"> convênios em cinco Estados (Ceará, Goiás, Minas Gerais, Piauí e Tocantins), com objetivo de propiciar ao médio produtor rural ascensão social da Classe "D" para a Classe "C" (mobilidade social) </w:t>
      </w:r>
      <w:r>
        <w:rPr>
          <w:rFonts w:ascii="Arial" w:hAnsi="Arial" w:cs="Arial"/>
          <w:sz w:val="24"/>
          <w:szCs w:val="24"/>
        </w:rPr>
        <w:t xml:space="preserve">por meio </w:t>
      </w:r>
      <w:r w:rsidRPr="004271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dia</w:t>
      </w:r>
      <w:r w:rsidRPr="00427116">
        <w:rPr>
          <w:rFonts w:ascii="Arial" w:hAnsi="Arial" w:cs="Arial"/>
          <w:sz w:val="24"/>
          <w:szCs w:val="24"/>
        </w:rPr>
        <w:t>gnóstico individualizado para identificar potencialidades e desafios do produtor rural Classe "D", por seleção de produtores rurais para cursos de qualificação objetivando a melhoria da gestão, produção e comercialização e, por fim, organização de produtores rurais para assistência técnica.</w:t>
      </w:r>
    </w:p>
    <w:p w:rsidR="005B5354" w:rsidRPr="005D546D" w:rsidRDefault="005B5354" w:rsidP="005B5354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20"/>
          <w:szCs w:val="20"/>
        </w:rPr>
      </w:pPr>
    </w:p>
    <w:p w:rsidR="004A140C" w:rsidRDefault="004A140C" w:rsidP="004A140C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</w:p>
    <w:p w:rsidR="00C0181E" w:rsidRDefault="007001BC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Cód. 1051 - </w:t>
      </w:r>
      <w:r w:rsidR="00C0181E" w:rsidRPr="007001BC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Armazenagem e Abastecimento</w:t>
      </w:r>
      <w:r w:rsidR="00E87312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 </w:t>
      </w:r>
    </w:p>
    <w:p w:rsidR="0051319B" w:rsidRPr="0051319B" w:rsidRDefault="0051319B" w:rsidP="0051319B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51319B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C52891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51319B">
        <w:rPr>
          <w:rFonts w:ascii="KorolevCondensed-Bold" w:hAnsi="KorolevCondensed-Bold" w:cs="KorolevCondensed-Bold"/>
          <w:bCs/>
          <w:sz w:val="28"/>
          <w:szCs w:val="28"/>
        </w:rPr>
        <w:t>esponsável: Ministério da Agricultura, Pecuária e Abastecimento - MAPA</w:t>
      </w:r>
    </w:p>
    <w:p w:rsidR="0051319B" w:rsidRPr="007001BC" w:rsidRDefault="0051319B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</w:p>
    <w:p w:rsidR="00CB36B2" w:rsidRPr="00CB36B2" w:rsidRDefault="00CB36B2" w:rsidP="00C0181E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16"/>
          <w:szCs w:val="16"/>
        </w:rPr>
      </w:pPr>
    </w:p>
    <w:p w:rsidR="00C0181E" w:rsidRDefault="00C0181E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Medium" w:hAnsi="KorolevCondensed-Medium" w:cs="KorolevCondensed-Medium"/>
          <w:color w:val="FFFFFF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Quanto ao objetivo de ampliar a capacidade de armazenagem e promover o abastecimento alimentar e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nutricional, a competitividade do setor, a geração de divisas cambiais e a produção e disseminação de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informações agropecuárias, está prevista, desde 2013, a ampliação do parque de armazenagem do setor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privado e público. Os financiamentos para reforma, modernização e construção de novos armazéns, no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setor privado, nesse período, corresponderam a cerca de R$ 6,3 bilhões.</w:t>
      </w:r>
    </w:p>
    <w:p w:rsidR="005D546D" w:rsidRPr="002238BB" w:rsidRDefault="005D546D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5D546D" w:rsidRDefault="00C0181E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Na gestão dos estoques governamentais, os produtos pertencentes ao governo federal têm sua guarda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 xml:space="preserve">e conservação realizada por empresas armazenadoras </w:t>
      </w:r>
      <w:r w:rsidRPr="005E49C2">
        <w:rPr>
          <w:rFonts w:ascii="Aller-Light" w:hAnsi="Aller-Light" w:cs="Aller-Light"/>
          <w:color w:val="434041"/>
          <w:sz w:val="24"/>
          <w:szCs w:val="24"/>
        </w:rPr>
        <w:lastRenderedPageBreak/>
        <w:t>públicas ou privadas, mediante a formalização de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contratos de depósitos com a Conab, a qual fiscaliza regularmente as condições do produto, de modo a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garantir suas condições fitossanitárias, para reposição ao mercado nos momentos em que é requerida a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complementação da oferta privada desses produtos. O processo de fiscalização executado pela Conab,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que em 2016 vistoriou 5,87 milhões de toneladas de produtos, como arroz, milho, feijão, café e trigo, tem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contribuído para a redução dos índices de perdas e a inibição de desvios dos produtos armazenados.</w:t>
      </w:r>
    </w:p>
    <w:p w:rsidR="005D546D" w:rsidRDefault="005D546D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C0181E" w:rsidRDefault="00C0181E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0"/>
          <w:szCs w:val="20"/>
        </w:rPr>
      </w:pPr>
      <w:r w:rsidRPr="005E49C2">
        <w:rPr>
          <w:rFonts w:ascii="Aller-Light" w:hAnsi="Aller-Light" w:cs="Aller-Light"/>
          <w:color w:val="434041"/>
          <w:sz w:val="24"/>
          <w:szCs w:val="24"/>
        </w:rPr>
        <w:t>A diversificação da pauta exportadora é condição fundamental para o país não depender somente das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vendas externas de poucos produtos. A ampliação de mercados e consequente desconcentração das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vendas externas em poucos mercados contribui para fortalecer o comércio exterior brasileiro. A atuação em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negociações sanitárias e fitossanitárias levou à reabertura do mercado para 22 produtos em 17 países, com</w:t>
      </w:r>
      <w:r w:rsidR="00CB36B2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destaque para carne bovina in natura – EUA, carne de aves termicamente processada – Coreia do Sul, carne</w:t>
      </w:r>
      <w:r w:rsidR="005B56F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de aves e suína – Vietnã e carne bovina termicamente processada – Japão. Foi estabelecido o Acordo de</w:t>
      </w:r>
      <w:r w:rsidR="005B56F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Cooperação entre o Ministério da Agricultura, Abastecimento e Pecuária e a Agência Brasileira de Promoção</w:t>
      </w:r>
      <w:r w:rsidR="005B56F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de Exportações e Investimentos (Apex-Brasil) para atuação em três eixos: eventos de promoção comercial</w:t>
      </w:r>
      <w:r w:rsidR="005B56F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5E49C2">
        <w:rPr>
          <w:rFonts w:ascii="Aller-Light" w:hAnsi="Aller-Light" w:cs="Aller-Light"/>
          <w:color w:val="434041"/>
          <w:sz w:val="24"/>
          <w:szCs w:val="24"/>
        </w:rPr>
        <w:t>e imagem; atração de investimentos e inteligência comercial</w:t>
      </w:r>
      <w:r>
        <w:rPr>
          <w:rFonts w:ascii="Aller-Light" w:hAnsi="Aller-Light" w:cs="Aller-Light"/>
          <w:color w:val="434041"/>
          <w:sz w:val="20"/>
          <w:szCs w:val="20"/>
        </w:rPr>
        <w:t>.</w:t>
      </w:r>
    </w:p>
    <w:p w:rsidR="005B56FF" w:rsidRPr="004A4A47" w:rsidRDefault="005B56FF" w:rsidP="00CB36B2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8"/>
          <w:szCs w:val="28"/>
        </w:rPr>
      </w:pPr>
    </w:p>
    <w:p w:rsidR="00C15151" w:rsidRPr="004A4A47" w:rsidRDefault="004A4A47" w:rsidP="005B56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52891">
        <w:rPr>
          <w:rFonts w:ascii="Aller-Light" w:hAnsi="Aller-Light" w:cs="Aller-Light"/>
          <w:b/>
          <w:color w:val="434041"/>
          <w:sz w:val="28"/>
          <w:szCs w:val="28"/>
          <w:highlight w:val="yellow"/>
        </w:rPr>
        <w:t>Nota</w:t>
      </w:r>
      <w:r w:rsidRPr="00C52891">
        <w:rPr>
          <w:rFonts w:ascii="Aller-Light" w:hAnsi="Aller-Light" w:cs="Aller-Light"/>
          <w:color w:val="434041"/>
          <w:sz w:val="28"/>
          <w:szCs w:val="28"/>
          <w:highlight w:val="yellow"/>
        </w:rPr>
        <w:t xml:space="preserve">: Neste relatório considerou-se os objetivos de gestão do MAPA, sendo </w:t>
      </w:r>
      <w:r w:rsidR="00EA025E" w:rsidRPr="00C52891">
        <w:rPr>
          <w:rFonts w:ascii="Aller-Light" w:hAnsi="Aller-Light" w:cs="Aller-Light"/>
          <w:color w:val="434041"/>
          <w:sz w:val="28"/>
          <w:szCs w:val="28"/>
          <w:highlight w:val="yellow"/>
        </w:rPr>
        <w:t xml:space="preserve">o </w:t>
      </w:r>
      <w:r w:rsidRPr="00C52891">
        <w:rPr>
          <w:rFonts w:ascii="Aller-Light" w:hAnsi="Aller-Light" w:cs="Aller-Light"/>
          <w:color w:val="434041"/>
          <w:sz w:val="28"/>
          <w:szCs w:val="28"/>
          <w:highlight w:val="yellow"/>
        </w:rPr>
        <w:t>descritor expresso em linguagem cidadã, para melhor compreensão.</w:t>
      </w:r>
    </w:p>
    <w:sectPr w:rsidR="00C15151" w:rsidRPr="004A4A4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66" w:rsidRDefault="009D3F66" w:rsidP="00BD5187">
      <w:pPr>
        <w:spacing w:after="0" w:line="240" w:lineRule="auto"/>
      </w:pPr>
      <w:r>
        <w:separator/>
      </w:r>
    </w:p>
  </w:endnote>
  <w:endnote w:type="continuationSeparator" w:id="0">
    <w:p w:rsidR="009D3F66" w:rsidRDefault="009D3F66" w:rsidP="00BD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orolev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rolevCondense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6A" w:rsidRDefault="008A211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posOffset>13063</wp:posOffset>
              </wp:positionH>
              <wp:positionV relativeFrom="bottomMargin">
                <wp:posOffset>267335</wp:posOffset>
              </wp:positionV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2113" w:rsidRDefault="008A211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596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40" o:spid="_x0000_s1026" style="position:absolute;margin-left:1.05pt;margin-top:21.05pt;width:3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" fillcolor="black [3213]" stroked="f" strokeweight="3pt">
              <v:textbox>
                <w:txbxContent>
                  <w:p w:rsidR="008A2113" w:rsidRDefault="008A211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6596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113" w:rsidRPr="008A2113" w:rsidRDefault="008A2113" w:rsidP="008A211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2113">
                              <w:rPr>
                                <w:sz w:val="16"/>
                                <w:szCs w:val="16"/>
                              </w:rPr>
                              <w:t>Fonte:: Relatório Anual de Avaliação – ano base 2016 – Ministério do Planejamento Desenvolvimento e Gestão</w:t>
                            </w:r>
                          </w:p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8A2113" w:rsidRDefault="008A211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8A2113" w:rsidRDefault="008A211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7" o:spid="_x0000_s102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1Edg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">
              <v:rect id="Retângulo 38" o:spid="_x0000_s1028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9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8A2113" w:rsidRPr="008A2113" w:rsidRDefault="008A2113" w:rsidP="008A211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8A2113">
                        <w:rPr>
                          <w:sz w:val="16"/>
                          <w:szCs w:val="16"/>
                        </w:rPr>
                        <w:t>Fonte::</w:t>
                      </w:r>
                      <w:proofErr w:type="gramEnd"/>
                      <w:r w:rsidRPr="008A2113">
                        <w:rPr>
                          <w:sz w:val="16"/>
                          <w:szCs w:val="16"/>
                        </w:rPr>
                        <w:t xml:space="preserve"> Relatório Anual de Avaliação – ano base 2016 – Ministério do Planejamento Desenvolvimento e Gestão</w:t>
                      </w:r>
                    </w:p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Content>
                        <w:p w:rsidR="008A2113" w:rsidRDefault="008A211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8A2113" w:rsidRDefault="008A211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66" w:rsidRDefault="009D3F66" w:rsidP="00BD5187">
      <w:pPr>
        <w:spacing w:after="0" w:line="240" w:lineRule="auto"/>
      </w:pPr>
      <w:r>
        <w:separator/>
      </w:r>
    </w:p>
  </w:footnote>
  <w:footnote w:type="continuationSeparator" w:id="0">
    <w:p w:rsidR="009D3F66" w:rsidRDefault="009D3F66" w:rsidP="00BD5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1E"/>
    <w:rsid w:val="0003097F"/>
    <w:rsid w:val="00070243"/>
    <w:rsid w:val="000A0C73"/>
    <w:rsid w:val="002238BB"/>
    <w:rsid w:val="0025207C"/>
    <w:rsid w:val="002575DC"/>
    <w:rsid w:val="002B486A"/>
    <w:rsid w:val="002C16F1"/>
    <w:rsid w:val="0030322E"/>
    <w:rsid w:val="003B7C8C"/>
    <w:rsid w:val="003F2AE6"/>
    <w:rsid w:val="00416075"/>
    <w:rsid w:val="0049119E"/>
    <w:rsid w:val="00497704"/>
    <w:rsid w:val="004A140C"/>
    <w:rsid w:val="004A4A47"/>
    <w:rsid w:val="004B667C"/>
    <w:rsid w:val="004D4408"/>
    <w:rsid w:val="0051319B"/>
    <w:rsid w:val="005B5354"/>
    <w:rsid w:val="005B56FF"/>
    <w:rsid w:val="005D546D"/>
    <w:rsid w:val="005E49C2"/>
    <w:rsid w:val="006410DA"/>
    <w:rsid w:val="006438CF"/>
    <w:rsid w:val="006A545E"/>
    <w:rsid w:val="007001BC"/>
    <w:rsid w:val="00736624"/>
    <w:rsid w:val="00783CC2"/>
    <w:rsid w:val="00783E9B"/>
    <w:rsid w:val="007C6D42"/>
    <w:rsid w:val="007F2C69"/>
    <w:rsid w:val="00821059"/>
    <w:rsid w:val="008A2113"/>
    <w:rsid w:val="008A7AFC"/>
    <w:rsid w:val="008E03B8"/>
    <w:rsid w:val="008E5119"/>
    <w:rsid w:val="00947656"/>
    <w:rsid w:val="009D3F66"/>
    <w:rsid w:val="00A50741"/>
    <w:rsid w:val="00A63577"/>
    <w:rsid w:val="00A65961"/>
    <w:rsid w:val="00A67E95"/>
    <w:rsid w:val="00A733CC"/>
    <w:rsid w:val="00B26035"/>
    <w:rsid w:val="00BD5187"/>
    <w:rsid w:val="00C0181E"/>
    <w:rsid w:val="00C15151"/>
    <w:rsid w:val="00C52891"/>
    <w:rsid w:val="00CB36B2"/>
    <w:rsid w:val="00CB5540"/>
    <w:rsid w:val="00CC15CD"/>
    <w:rsid w:val="00DA1475"/>
    <w:rsid w:val="00DC3A1D"/>
    <w:rsid w:val="00E055C6"/>
    <w:rsid w:val="00E2090A"/>
    <w:rsid w:val="00E85BA4"/>
    <w:rsid w:val="00E87312"/>
    <w:rsid w:val="00EA025E"/>
    <w:rsid w:val="00F332A8"/>
    <w:rsid w:val="00F8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131C1C-2143-4AC1-AE93-3FBA0ED7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187"/>
  </w:style>
  <w:style w:type="paragraph" w:styleId="Rodap">
    <w:name w:val="footer"/>
    <w:basedOn w:val="Normal"/>
    <w:link w:val="RodapChar"/>
    <w:uiPriority w:val="99"/>
    <w:unhideWhenUsed/>
    <w:rsid w:val="00BD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3172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20262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Antonio Rodrigues Nogueira</dc:creator>
  <cp:keywords/>
  <dc:description/>
  <cp:lastModifiedBy>Ana Maria Cardoso</cp:lastModifiedBy>
  <cp:revision>2</cp:revision>
  <dcterms:created xsi:type="dcterms:W3CDTF">2017-07-07T12:54:00Z</dcterms:created>
  <dcterms:modified xsi:type="dcterms:W3CDTF">2017-07-07T12:54:00Z</dcterms:modified>
</cp:coreProperties>
</file>