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F3" w:rsidRDefault="00151AF3" w:rsidP="00151AF3">
      <w:pPr>
        <w:autoSpaceDE w:val="0"/>
        <w:autoSpaceDN w:val="0"/>
        <w:adjustRightInd w:val="0"/>
        <w:spacing w:after="0" w:line="240" w:lineRule="auto"/>
        <w:rPr>
          <w:rFonts w:ascii="Aller-Light" w:hAnsi="Aller-Light" w:cs="Aller-Light"/>
          <w:color w:val="434041"/>
          <w:sz w:val="20"/>
          <w:szCs w:val="20"/>
        </w:rPr>
      </w:pPr>
      <w:bookmarkStart w:id="0" w:name="_GoBack"/>
      <w:bookmarkEnd w:id="0"/>
      <w:r>
        <w:rPr>
          <w:rFonts w:ascii="KorolevCondensed-Medium" w:hAnsi="KorolevCondensed-Medium" w:cs="KorolevCondensed-Medium"/>
          <w:color w:val="FFFFFF"/>
          <w:sz w:val="24"/>
          <w:szCs w:val="24"/>
        </w:rPr>
        <w:t>329</w:t>
      </w:r>
    </w:p>
    <w:p w:rsidR="00151AF3" w:rsidRDefault="00151AF3" w:rsidP="00151AF3">
      <w:pPr>
        <w:autoSpaceDE w:val="0"/>
        <w:autoSpaceDN w:val="0"/>
        <w:adjustRightInd w:val="0"/>
        <w:spacing w:after="0" w:line="240" w:lineRule="auto"/>
        <w:rPr>
          <w:rFonts w:ascii="KorolevCondensed-Medium" w:hAnsi="KorolevCondensed-Medium" w:cs="KorolevCondensed-Medium"/>
          <w:color w:val="FFFFFF"/>
          <w:sz w:val="24"/>
          <w:szCs w:val="24"/>
        </w:rPr>
      </w:pPr>
      <w:r>
        <w:rPr>
          <w:rFonts w:ascii="KorolevCondensed-Medium" w:hAnsi="KorolevCondensed-Medium" w:cs="KorolevCondensed-Medium"/>
          <w:color w:val="FFFFFF"/>
          <w:sz w:val="24"/>
          <w:szCs w:val="24"/>
        </w:rPr>
        <w:t>330</w:t>
      </w:r>
    </w:p>
    <w:p w:rsidR="00151AF3" w:rsidRDefault="00151AF3" w:rsidP="00151AF3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1C4C69"/>
          <w:sz w:val="40"/>
          <w:szCs w:val="40"/>
          <w:u w:val="single"/>
        </w:rPr>
      </w:pPr>
      <w:r w:rsidRPr="00ED3EC4">
        <w:rPr>
          <w:rFonts w:ascii="KorolevCondensed-Bold" w:hAnsi="KorolevCondensed-Bold" w:cs="KorolevCondensed-Bold"/>
          <w:b/>
          <w:bCs/>
          <w:color w:val="1C4C69"/>
          <w:sz w:val="40"/>
          <w:szCs w:val="40"/>
          <w:u w:val="single"/>
        </w:rPr>
        <w:t>Programa 2042</w:t>
      </w:r>
      <w:r w:rsidR="00ED3EC4" w:rsidRPr="00ED3EC4">
        <w:rPr>
          <w:rFonts w:ascii="KorolevCondensed-Bold" w:hAnsi="KorolevCondensed-Bold" w:cs="KorolevCondensed-Bold"/>
          <w:b/>
          <w:bCs/>
          <w:color w:val="1C4C69"/>
          <w:sz w:val="40"/>
          <w:szCs w:val="40"/>
          <w:u w:val="single"/>
        </w:rPr>
        <w:t xml:space="preserve"> - </w:t>
      </w:r>
      <w:r w:rsidR="00CA3B0D" w:rsidRPr="00ED3EC4">
        <w:rPr>
          <w:rFonts w:ascii="KorolevCondensed-Bold" w:hAnsi="KorolevCondensed-Bold" w:cs="KorolevCondensed-Bold"/>
          <w:b/>
          <w:bCs/>
          <w:color w:val="1C4C69"/>
          <w:sz w:val="40"/>
          <w:szCs w:val="40"/>
          <w:u w:val="single"/>
        </w:rPr>
        <w:t>Pesquisa e Inovaç</w:t>
      </w:r>
      <w:r w:rsidRPr="00ED3EC4">
        <w:rPr>
          <w:rFonts w:ascii="KorolevCondensed-Bold" w:hAnsi="KorolevCondensed-Bold" w:cs="KorolevCondensed-Bold"/>
          <w:b/>
          <w:bCs/>
          <w:color w:val="1C4C69"/>
          <w:sz w:val="40"/>
          <w:szCs w:val="40"/>
          <w:u w:val="single"/>
        </w:rPr>
        <w:t>ões para a Agropecuária</w:t>
      </w:r>
    </w:p>
    <w:p w:rsidR="00ED3EC4" w:rsidRPr="00ED3EC4" w:rsidRDefault="00ED3EC4" w:rsidP="00151AF3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1C4C69"/>
          <w:sz w:val="20"/>
          <w:szCs w:val="20"/>
          <w:u w:val="single"/>
        </w:rPr>
      </w:pPr>
    </w:p>
    <w:p w:rsidR="00ED3EC4" w:rsidRDefault="00ED3EC4" w:rsidP="00151AF3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1C4C69"/>
          <w:sz w:val="32"/>
          <w:szCs w:val="32"/>
        </w:rPr>
      </w:pPr>
      <w:r w:rsidRPr="00ED3EC4">
        <w:rPr>
          <w:rFonts w:ascii="KorolevCondensed-Bold" w:hAnsi="KorolevCondensed-Bold" w:cs="KorolevCondensed-Bold"/>
          <w:b/>
          <w:bCs/>
          <w:color w:val="1C4C69"/>
          <w:sz w:val="32"/>
          <w:szCs w:val="32"/>
        </w:rPr>
        <w:t xml:space="preserve">Órgão </w:t>
      </w:r>
      <w:r w:rsidR="00CA6674">
        <w:rPr>
          <w:rFonts w:ascii="KorolevCondensed-Bold" w:hAnsi="KorolevCondensed-Bold" w:cs="KorolevCondensed-Bold"/>
          <w:b/>
          <w:bCs/>
          <w:color w:val="1C4C69"/>
          <w:sz w:val="32"/>
          <w:szCs w:val="32"/>
        </w:rPr>
        <w:t>R</w:t>
      </w:r>
      <w:r w:rsidRPr="00ED3EC4">
        <w:rPr>
          <w:rFonts w:ascii="KorolevCondensed-Bold" w:hAnsi="KorolevCondensed-Bold" w:cs="KorolevCondensed-Bold"/>
          <w:b/>
          <w:bCs/>
          <w:color w:val="1C4C69"/>
          <w:sz w:val="32"/>
          <w:szCs w:val="32"/>
        </w:rPr>
        <w:t xml:space="preserve">esponsável: </w:t>
      </w:r>
      <w:r w:rsidR="00347B3D">
        <w:rPr>
          <w:rFonts w:ascii="KorolevCondensed-Bold" w:hAnsi="KorolevCondensed-Bold" w:cs="KorolevCondensed-Bold"/>
          <w:b/>
          <w:bCs/>
          <w:color w:val="1C4C69"/>
          <w:sz w:val="32"/>
          <w:szCs w:val="32"/>
        </w:rPr>
        <w:t>Ministério da Agricul</w:t>
      </w:r>
      <w:r w:rsidR="004B27CA">
        <w:rPr>
          <w:rFonts w:ascii="KorolevCondensed-Bold" w:hAnsi="KorolevCondensed-Bold" w:cs="KorolevCondensed-Bold"/>
          <w:b/>
          <w:bCs/>
          <w:color w:val="1C4C69"/>
          <w:sz w:val="32"/>
          <w:szCs w:val="32"/>
        </w:rPr>
        <w:t>tura, Pecuária e Abastecimento</w:t>
      </w:r>
    </w:p>
    <w:p w:rsidR="00ED3EC4" w:rsidRDefault="00ED3EC4" w:rsidP="00151AF3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1C4C69"/>
          <w:sz w:val="32"/>
          <w:szCs w:val="32"/>
        </w:rPr>
      </w:pPr>
    </w:p>
    <w:p w:rsidR="00790B38" w:rsidRDefault="00790B38" w:rsidP="00151AF3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1C4C69"/>
          <w:sz w:val="32"/>
          <w:szCs w:val="32"/>
        </w:rPr>
      </w:pPr>
      <w:r>
        <w:rPr>
          <w:rFonts w:ascii="KorolevCondensed-Bold" w:hAnsi="KorolevCondensed-Bold" w:cs="KorolevCondensed-Bold"/>
          <w:b/>
          <w:bCs/>
          <w:color w:val="1C4C69"/>
          <w:sz w:val="32"/>
          <w:szCs w:val="32"/>
        </w:rPr>
        <w:t>Contextualização</w:t>
      </w:r>
    </w:p>
    <w:p w:rsidR="00790B38" w:rsidRPr="00ED3EC4" w:rsidRDefault="00790B38" w:rsidP="00151AF3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1C4C69"/>
          <w:sz w:val="32"/>
          <w:szCs w:val="32"/>
        </w:rPr>
      </w:pPr>
    </w:p>
    <w:p w:rsidR="006011BD" w:rsidRDefault="00151AF3" w:rsidP="00C56F69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ED3EC4">
        <w:rPr>
          <w:rFonts w:ascii="Aller-Light" w:hAnsi="Aller-Light" w:cs="Aller-Light"/>
          <w:color w:val="434041"/>
          <w:sz w:val="24"/>
          <w:szCs w:val="24"/>
        </w:rPr>
        <w:t>A competitividade da agropecuária brasileira é reconhecidamente importante para o desenvolvimento</w:t>
      </w:r>
      <w:r w:rsidR="00ED3EC4" w:rsidRPr="00ED3EC4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social e econômico do Brasil. Os 84,9 bilhões de dólares exportados pelo agronegócio brasileiro em 2016</w:t>
      </w:r>
      <w:r w:rsidR="00ED3EC4" w:rsidRPr="00ED3EC4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contribuíram para o país obter um superávit de 71,3 bilhões de dólares na balança comercial do setor.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Além de contribuir com a retomada do crescimento econômico e no equilíbrio das contas externas, o setor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desempenha papel fundamental no abastecimento do mercado interno de alimentos, fibras e energia, na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geração de riqueza, na geração de emprego e renda e na estabilização de fluxos internos migratórios, entre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outros benefícios.</w:t>
      </w:r>
    </w:p>
    <w:p w:rsidR="0086560F" w:rsidRDefault="0086560F" w:rsidP="00C56F69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6011BD" w:rsidRDefault="00151AF3" w:rsidP="00C56F69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ED3EC4">
        <w:rPr>
          <w:rFonts w:ascii="Aller-Light" w:hAnsi="Aller-Light" w:cs="Aller-Light"/>
          <w:color w:val="434041"/>
          <w:sz w:val="24"/>
          <w:szCs w:val="24"/>
        </w:rPr>
        <w:t>Entre os principais fatores responsáveis por esse papel se encontra a capacidade brasileira de investir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em ciência e tecnologia e a decorrente adoção, por parte do setor produtivo, das soluções tecnológicas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inovadoras promovidas pela pesquisa agropecuária, com apoio das organizações públicas e privadas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de extensão rural. Os resultados dessa integração entre pesquisa, extensão e produção têm sido tão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satisfatórios que o país se transformou, nas últimas quatro décadas, de antigo importador de alimentos em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um dos maiores produtores e exportadores de produtos agropecuários do mundo.</w:t>
      </w:r>
    </w:p>
    <w:p w:rsidR="0086560F" w:rsidRDefault="0086560F" w:rsidP="00C56F69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6011BD" w:rsidRDefault="00151AF3" w:rsidP="00C56F69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ED3EC4">
        <w:rPr>
          <w:rFonts w:ascii="Aller-Light" w:hAnsi="Aller-Light" w:cs="Aller-Light"/>
          <w:color w:val="434041"/>
          <w:sz w:val="24"/>
          <w:szCs w:val="24"/>
        </w:rPr>
        <w:t>Os benefícios conquistados pelos altos índices de produtividade da moderna agropecuária brasileira se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refletem, no âmbito interno, na redução do impacto do preço dos alimentos na cesta de consumo das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famílias, contribuindo, assim, para a melhor distribuição de renda e a segurança alimentar da população;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no âmbito externo, a agropecuária desempenha papel fundamental no crescimento econômico do país, na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medida em que a exportação garante o saldo positivo de sua balança comercial.</w:t>
      </w:r>
    </w:p>
    <w:p w:rsidR="0086560F" w:rsidRDefault="0086560F" w:rsidP="00C56F69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6011BD" w:rsidRDefault="00151AF3" w:rsidP="00C56F69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ED3EC4">
        <w:rPr>
          <w:rFonts w:ascii="Aller-Light" w:hAnsi="Aller-Light" w:cs="Aller-Light"/>
          <w:color w:val="434041"/>
          <w:sz w:val="24"/>
          <w:szCs w:val="24"/>
        </w:rPr>
        <w:t>O programa temático “Pesquisa e Inovações para a Agropecuária” está inserido neste contexto, no sentido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de garantir a continuidade desses avanços por meio do desenvolvimento de conhecimentos e tecnologias,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de sua incorporação pelo setor produtivo, além da disseminação da cultura e da ampliação do processo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de inovação. Dessa forma, o programa busca contribuir para a superação de desafios relacionados à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produtividade e competitividade do setor; à segurança alimentar; à sustentabilidade produtiva e ambiental,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com destaque para a Agricultura de Baixa Emissão de Carbono, e à inclusão social dos pequenos agricultores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 xml:space="preserve">e daqueles de base familiar. Também se dedica a inovações </w:t>
      </w:r>
      <w:r w:rsidRPr="00ED3EC4">
        <w:rPr>
          <w:rFonts w:ascii="Aller-Light" w:hAnsi="Aller-Light" w:cs="Aller-Light"/>
          <w:color w:val="434041"/>
          <w:sz w:val="24"/>
          <w:szCs w:val="24"/>
        </w:rPr>
        <w:lastRenderedPageBreak/>
        <w:t>organizacionais, por meio da incorporação de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 xml:space="preserve">novos processos e arranjos para </w:t>
      </w:r>
      <w:r w:rsidR="00077BE0">
        <w:rPr>
          <w:rFonts w:ascii="Aller-Light" w:hAnsi="Aller-Light" w:cs="Aller-Light"/>
          <w:color w:val="434041"/>
          <w:sz w:val="24"/>
          <w:szCs w:val="24"/>
        </w:rPr>
        <w:t xml:space="preserve">o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aprimoramento da estrutura da pesquisa agropecuária brasileira, do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fortalecimento e consolidação da atuação internacional da Empresa Brasileira de Pesquisa Agropecuária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(Embrapa) e da gestão da inovação no Sistema Nacional de Pesquisa Agropecuária.</w:t>
      </w:r>
    </w:p>
    <w:p w:rsidR="0086560F" w:rsidRDefault="0086560F" w:rsidP="00C56F69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86560F" w:rsidRDefault="00151AF3" w:rsidP="00C56F69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ED3EC4">
        <w:rPr>
          <w:rFonts w:ascii="Aller-Light" w:hAnsi="Aller-Light" w:cs="Aller-Light"/>
          <w:color w:val="434041"/>
          <w:sz w:val="24"/>
          <w:szCs w:val="24"/>
        </w:rPr>
        <w:t>Para superar desafios como esses, o programa está organizado em seis objetivos distintos e complementares: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(i) Fomentar a inovação na agropecuária, com ênfase na conservação de recursos genéticos, na promoção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da proteção de cultivares e no desenvolvimento da tecnologia agropecuária; (ii) Ampliar os serviços de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Assistência Técnica e Extensão Rural continuada como instrumento de difusão de tecnologia; (iii) – Produzir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conhecimento científico e tecnológico para a geração de inovações na agropecuária; (iv) Promover a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incorporação de soluções inovadoras pelas cadeias e arranjos produtivos da agropecuária para aumento da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produtividade, competitividade e sustentabilidade; (v) Aprimorar parcerias, processos, recursos humanos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e infraestruturas estratégicas no país para a pesquisa, o desenvolvimento e as inovações da agropecuária;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(vi) Desenvolver pesquisas integradas à assistência técnica e difusão tecnológica como instrumentos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dinamizadores da competitividade e sustentabilidade agropecuária, e inclusão socioprodutiva nas regiões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produtoras de cacau. O atendimento a esses objetivos exigiu do governo federal uma série de iniciativas,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cujos resultados encontram-se a seguir. De forma geral, esses resultados atenderam ao programa Inovações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para a Agropecuária.</w:t>
      </w:r>
    </w:p>
    <w:p w:rsidR="0086560F" w:rsidRDefault="0086560F" w:rsidP="00C56F69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151AF3" w:rsidRDefault="00151AF3" w:rsidP="00C56F69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ED3EC4">
        <w:rPr>
          <w:rFonts w:ascii="Aller-Light" w:hAnsi="Aller-Light" w:cs="Aller-Light"/>
          <w:color w:val="434041"/>
          <w:sz w:val="24"/>
          <w:szCs w:val="24"/>
        </w:rPr>
        <w:t>Uma robusta carteira de projetos de pesquisa e transferência de tecnologias é elemento essencial para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uma constante geração de novos conhecimentos e inovações tecnológicas. Além da manutenção da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carteira de projetos e da geração de novos produtos, este conjunto de esforços gerou impactos positivos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no setor agropecuário e ainda ajudou na preservação do ambiente em que atua. Desta forma, a pesquisa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agropecuária desenvolvida cumpriu seu papel nos aspectos de meio ambiente, sociedade, geração de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emprego e retorno dos investimentos realizados.</w:t>
      </w:r>
    </w:p>
    <w:p w:rsidR="00FE14C6" w:rsidRPr="00ED3EC4" w:rsidRDefault="00FE14C6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151AF3" w:rsidRDefault="00151AF3" w:rsidP="00151AF3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1C4C69"/>
          <w:sz w:val="32"/>
          <w:szCs w:val="32"/>
        </w:rPr>
      </w:pPr>
      <w:r w:rsidRPr="00ED3EC4">
        <w:rPr>
          <w:rFonts w:ascii="KorolevCondensed-Bold" w:hAnsi="KorolevCondensed-Bold" w:cs="KorolevCondensed-Bold"/>
          <w:b/>
          <w:bCs/>
          <w:color w:val="1C4C69"/>
          <w:sz w:val="32"/>
          <w:szCs w:val="32"/>
        </w:rPr>
        <w:t>Principais Resultados</w:t>
      </w:r>
    </w:p>
    <w:p w:rsidR="00285CD1" w:rsidRDefault="00285CD1" w:rsidP="00151AF3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1C4C69"/>
          <w:sz w:val="32"/>
          <w:szCs w:val="32"/>
        </w:rPr>
      </w:pPr>
    </w:p>
    <w:p w:rsidR="00FC682D" w:rsidRPr="00FC682D" w:rsidRDefault="00285CD1" w:rsidP="00FC68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2388">
        <w:rPr>
          <w:rFonts w:ascii="Arial" w:hAnsi="Arial" w:cs="Arial"/>
          <w:color w:val="434041"/>
          <w:sz w:val="24"/>
          <w:szCs w:val="24"/>
        </w:rPr>
        <w:t xml:space="preserve">O programa </w:t>
      </w:r>
      <w:r w:rsidRPr="00C32388">
        <w:rPr>
          <w:rFonts w:ascii="Arial" w:hAnsi="Arial" w:cs="Arial"/>
          <w:bCs/>
          <w:sz w:val="24"/>
          <w:szCs w:val="24"/>
        </w:rPr>
        <w:t>Pesquisa e Inovações para a Agropecuária</w:t>
      </w:r>
      <w:r w:rsidRPr="00C32388">
        <w:rPr>
          <w:rFonts w:ascii="Arial" w:hAnsi="Arial" w:cs="Arial"/>
          <w:color w:val="434041"/>
          <w:sz w:val="24"/>
          <w:szCs w:val="24"/>
        </w:rPr>
        <w:t>, no Plano Plurianual (PPA) 2016-2019, contempla 7 Indicadores e 6 objetivos</w:t>
      </w:r>
      <w:r w:rsidR="00C568E7" w:rsidRPr="00C32388">
        <w:rPr>
          <w:rFonts w:ascii="Arial" w:hAnsi="Arial" w:cs="Arial"/>
          <w:color w:val="434041"/>
          <w:sz w:val="24"/>
          <w:szCs w:val="24"/>
        </w:rPr>
        <w:t xml:space="preserve">, </w:t>
      </w:r>
      <w:r w:rsidR="007D2DCA" w:rsidRPr="00C32388">
        <w:rPr>
          <w:rFonts w:ascii="Arial" w:hAnsi="Arial" w:cs="Arial"/>
          <w:color w:val="434041"/>
          <w:sz w:val="24"/>
          <w:szCs w:val="24"/>
        </w:rPr>
        <w:t xml:space="preserve">que </w:t>
      </w:r>
      <w:r w:rsidR="00FC682D" w:rsidRPr="00C32388">
        <w:rPr>
          <w:rFonts w:ascii="Arial" w:hAnsi="Arial" w:cs="Arial"/>
          <w:sz w:val="24"/>
          <w:szCs w:val="24"/>
        </w:rPr>
        <w:t>visa o desenvolvimento de pesquisas e a incorporação de conhecimentos e inovações tecnológicas, além da disseminação da cultura e da ampliação do processo de inovação.</w:t>
      </w:r>
    </w:p>
    <w:p w:rsidR="00285CD1" w:rsidRPr="00FC682D" w:rsidRDefault="00285CD1" w:rsidP="00151A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C4C69"/>
          <w:sz w:val="24"/>
          <w:szCs w:val="24"/>
        </w:rPr>
      </w:pPr>
    </w:p>
    <w:p w:rsidR="00C56F69" w:rsidRDefault="00151AF3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ED3EC4">
        <w:rPr>
          <w:rFonts w:ascii="Aller-Light" w:hAnsi="Aller-Light" w:cs="Aller-Light"/>
          <w:color w:val="434041"/>
          <w:sz w:val="24"/>
          <w:szCs w:val="24"/>
        </w:rPr>
        <w:t>Considerando o conjunto dos indicadores do programa temático, especificamente quanto aos impactos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das tecnologias lançadas pela Embrapa em termos de empregos no meio rural, foram verificados 71.787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novos postos de trabalho em 2015. Ainda no mesmo ano, 1.224 tecnologias, produtos e serviços foram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desenvolvidos. Isso representa um aumento de 14,5 % em relação ao ano anterior. Outro indicador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importante dos impactos dos resultados da pesquisa desenvolvida pela Embrapa é o valor do retorno dos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 xml:space="preserve">investimentos </w:t>
      </w:r>
      <w:r w:rsidRPr="00ED3EC4">
        <w:rPr>
          <w:rFonts w:ascii="Aller-Light" w:hAnsi="Aller-Light" w:cs="Aller-Light"/>
          <w:color w:val="434041"/>
          <w:sz w:val="24"/>
          <w:szCs w:val="24"/>
        </w:rPr>
        <w:lastRenderedPageBreak/>
        <w:t>para cada real aplicado. No ano de 2015, foram obtidos em média R$ 9,23 por real aplicado.</w:t>
      </w:r>
    </w:p>
    <w:p w:rsidR="00C56F69" w:rsidRPr="00C56F69" w:rsidRDefault="00C56F69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16"/>
          <w:szCs w:val="16"/>
        </w:rPr>
      </w:pPr>
    </w:p>
    <w:p w:rsidR="00151AF3" w:rsidRDefault="00347B3D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</w:pPr>
      <w:r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 xml:space="preserve">Cód. 0969 - </w:t>
      </w:r>
      <w:r w:rsidR="00151AF3" w:rsidRPr="00C56F69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>Inovação na Agropecuária</w:t>
      </w:r>
    </w:p>
    <w:p w:rsidR="002620F6" w:rsidRPr="00434B5D" w:rsidRDefault="002620F6" w:rsidP="002620F6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Cs/>
          <w:sz w:val="28"/>
          <w:szCs w:val="28"/>
        </w:rPr>
      </w:pPr>
      <w:r w:rsidRPr="00434B5D">
        <w:rPr>
          <w:rFonts w:ascii="KorolevCondensed-Bold" w:hAnsi="KorolevCondensed-Bold" w:cs="KorolevCondensed-Bold"/>
          <w:bCs/>
          <w:sz w:val="28"/>
          <w:szCs w:val="28"/>
        </w:rPr>
        <w:t xml:space="preserve">Órgão </w:t>
      </w:r>
      <w:r w:rsidR="006C4A9C">
        <w:rPr>
          <w:rFonts w:ascii="KorolevCondensed-Bold" w:hAnsi="KorolevCondensed-Bold" w:cs="KorolevCondensed-Bold"/>
          <w:bCs/>
          <w:sz w:val="28"/>
          <w:szCs w:val="28"/>
        </w:rPr>
        <w:t>R</w:t>
      </w:r>
      <w:r w:rsidRPr="00434B5D">
        <w:rPr>
          <w:rFonts w:ascii="KorolevCondensed-Bold" w:hAnsi="KorolevCondensed-Bold" w:cs="KorolevCondensed-Bold"/>
          <w:bCs/>
          <w:sz w:val="28"/>
          <w:szCs w:val="28"/>
        </w:rPr>
        <w:t>esponsável: Ministério da Agricultura, Pecuária e Abastecimento</w:t>
      </w:r>
    </w:p>
    <w:p w:rsidR="00C56F69" w:rsidRPr="00C56F69" w:rsidRDefault="00C56F69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KorolevCondensed-Bold" w:hAnsi="KorolevCondensed-Bold" w:cs="KorolevCondensed-Bold"/>
          <w:b/>
          <w:bCs/>
          <w:color w:val="000000"/>
          <w:sz w:val="16"/>
          <w:szCs w:val="16"/>
        </w:rPr>
      </w:pPr>
    </w:p>
    <w:p w:rsidR="00151AF3" w:rsidRDefault="00151AF3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ED3EC4">
        <w:rPr>
          <w:rFonts w:ascii="Aller-Light" w:hAnsi="Aller-Light" w:cs="Aller-Light"/>
          <w:color w:val="434041"/>
          <w:sz w:val="24"/>
          <w:szCs w:val="24"/>
        </w:rPr>
        <w:t>Em relação ao objetivo de fomentar a inovação na agropecuária, com ênfase na conservação de recursos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genéticos, na promoção da proteção de cultivares e no desenvolvimento da tecnologia agropecuária,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destacam-se 301 cultivares protegidas em 2016, perfazendo um total acumulado de 3.111 cultivares já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protegidas. Isto atende à expectativa de pessoas físicas e jurídicas que buscam segurança no retorno dos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investimentos realizados em pesquisa e inovação na área de melhoramento genético vegetal. O estímulo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à obtenção de novas variedades de plantas, proporcionado pela proteção de cultivares, incentiva a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competição entre empresas e reflete na melhoria da qualidade dos materiais lançados no comércio de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sementes, beneficiando os agricultores e consumidores. Foram também incluídas no regime de proteção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nove novas espécies, totalizando-se 181 espécies que podem ter suas cultivares protegidas pelo Ministério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da Agricultura, Pecuária e Abastecimento.</w:t>
      </w:r>
    </w:p>
    <w:p w:rsidR="00FE14C6" w:rsidRPr="00FE14C6" w:rsidRDefault="00FE14C6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16"/>
          <w:szCs w:val="16"/>
        </w:rPr>
      </w:pPr>
    </w:p>
    <w:p w:rsidR="00C56F69" w:rsidRDefault="00C56F69" w:rsidP="00151AF3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000000"/>
          <w:sz w:val="40"/>
          <w:szCs w:val="40"/>
        </w:rPr>
      </w:pPr>
    </w:p>
    <w:p w:rsidR="00151AF3" w:rsidRPr="00C47F46" w:rsidRDefault="00347B3D" w:rsidP="00151AF3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</w:pPr>
      <w:r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 xml:space="preserve">Cód. 1005 - </w:t>
      </w:r>
      <w:r w:rsidR="00C56F69" w:rsidRPr="00C47F46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>Assist</w:t>
      </w:r>
      <w:r w:rsidR="00151AF3" w:rsidRPr="00C47F46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>ência Técnica e Extensão Rural Continuada</w:t>
      </w:r>
    </w:p>
    <w:p w:rsidR="00434B5D" w:rsidRPr="00434B5D" w:rsidRDefault="00434B5D" w:rsidP="00434B5D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Cs/>
          <w:sz w:val="28"/>
          <w:szCs w:val="28"/>
        </w:rPr>
      </w:pPr>
      <w:r w:rsidRPr="00434B5D">
        <w:rPr>
          <w:rFonts w:ascii="KorolevCondensed-Bold" w:hAnsi="KorolevCondensed-Bold" w:cs="KorolevCondensed-Bold"/>
          <w:bCs/>
          <w:sz w:val="28"/>
          <w:szCs w:val="28"/>
        </w:rPr>
        <w:t xml:space="preserve">Órgão </w:t>
      </w:r>
      <w:r w:rsidR="006C4A9C">
        <w:rPr>
          <w:rFonts w:ascii="KorolevCondensed-Bold" w:hAnsi="KorolevCondensed-Bold" w:cs="KorolevCondensed-Bold"/>
          <w:bCs/>
          <w:sz w:val="28"/>
          <w:szCs w:val="28"/>
        </w:rPr>
        <w:t>R</w:t>
      </w:r>
      <w:r w:rsidRPr="00434B5D">
        <w:rPr>
          <w:rFonts w:ascii="KorolevCondensed-Bold" w:hAnsi="KorolevCondensed-Bold" w:cs="KorolevCondensed-Bold"/>
          <w:bCs/>
          <w:sz w:val="28"/>
          <w:szCs w:val="28"/>
        </w:rPr>
        <w:t>esponsável: Ministério da Agricultura, Pecuária e Abastecimento</w:t>
      </w:r>
    </w:p>
    <w:p w:rsidR="00FE14C6" w:rsidRPr="00FE14C6" w:rsidRDefault="00FE14C6" w:rsidP="00151AF3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000000"/>
          <w:sz w:val="16"/>
          <w:szCs w:val="16"/>
        </w:rPr>
      </w:pPr>
    </w:p>
    <w:p w:rsidR="00151AF3" w:rsidRDefault="00151AF3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ED3EC4">
        <w:rPr>
          <w:rFonts w:ascii="Aller-Light" w:hAnsi="Aller-Light" w:cs="Aller-Light"/>
          <w:color w:val="434041"/>
          <w:sz w:val="24"/>
          <w:szCs w:val="24"/>
        </w:rPr>
        <w:t>No ano de 2016, os esforços para ampliar os serviços de assistência técnica e extensão rural (ATER)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continuada como instrumento de difusão de tecnologia concentraram-se na articulação com entidades e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formalização de parcerias com os órgãos estaduais de Assistência Técnica e Extensão Rural.</w:t>
      </w:r>
    </w:p>
    <w:p w:rsidR="0086560F" w:rsidRPr="00ED3EC4" w:rsidRDefault="0086560F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86560F" w:rsidRDefault="00151AF3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ED3EC4">
        <w:rPr>
          <w:rFonts w:ascii="Aller-Light" w:hAnsi="Aller-Light" w:cs="Aller-Light"/>
          <w:color w:val="434041"/>
          <w:sz w:val="24"/>
          <w:szCs w:val="24"/>
        </w:rPr>
        <w:t>Para tanto, foi feita uma pesquisa com os objetivos de avaliar o perfil do médio produtor, compreender o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efeito da ATER para o produtor, levantar problemas no serviço de ATER e coletar sugestões para melhoria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dos serviços. Tal pesquisa funcionará como um mapeamento da demanda de ATER pelos médios produtores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e servirá de subsídio para a realização de projetos prioritários nessa área.</w:t>
      </w:r>
    </w:p>
    <w:p w:rsidR="0086560F" w:rsidRDefault="0086560F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86560F" w:rsidRDefault="00151AF3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ED3EC4">
        <w:rPr>
          <w:rFonts w:ascii="Aller-Light" w:hAnsi="Aller-Light" w:cs="Aller-Light"/>
          <w:color w:val="434041"/>
          <w:sz w:val="24"/>
          <w:szCs w:val="24"/>
        </w:rPr>
        <w:t>Após identificada a demanda, buscou-se estabelecer projetos prioritários de ATER que suprissem as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carências de cada Estado. Para tanto, foram firmadas parcerias em forma de convênios e Termos de Execução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Descentralizadas com outras entidades, que viabilizarão o atendimento de 27.955 beneficiários, entre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produtores rurais, técnicos e estudantes, e a implementação de 372 Unidades de Referência Tecnológica.</w:t>
      </w:r>
    </w:p>
    <w:p w:rsidR="0086560F" w:rsidRDefault="0086560F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151AF3" w:rsidRDefault="00151AF3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ED3EC4">
        <w:rPr>
          <w:rFonts w:ascii="Aller-Light" w:hAnsi="Aller-Light" w:cs="Aller-Light"/>
          <w:color w:val="434041"/>
          <w:sz w:val="24"/>
          <w:szCs w:val="24"/>
        </w:rPr>
        <w:t>No que diz respeito à agricultura irrigada, foram selecionados 16 perímetros para a implantação de unidades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 xml:space="preserve">demonstrativas, que têm a função de difundir </w:t>
      </w:r>
      <w:r w:rsidRPr="00ED3EC4">
        <w:rPr>
          <w:rFonts w:ascii="Aller-Light" w:hAnsi="Aller-Light" w:cs="Aller-Light"/>
          <w:color w:val="434041"/>
          <w:sz w:val="24"/>
          <w:szCs w:val="24"/>
        </w:rPr>
        <w:lastRenderedPageBreak/>
        <w:t>conhecimentos e tecnologias, propiciando os meios para a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experimentação e aprendizado de propostas de cunho tecnológico ou organizacionais. Além disso, foram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capacitados 1.421 técnicos em agricultura irrigada, por meio do curso Irrigaweb, promovido na modalidade</w:t>
      </w:r>
      <w:r w:rsidR="00C56F69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a distância, em parceria com a Embrapa Produtos e Mercado.</w:t>
      </w:r>
    </w:p>
    <w:p w:rsidR="00FE14C6" w:rsidRPr="00FE14C6" w:rsidRDefault="00FE14C6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16"/>
          <w:szCs w:val="16"/>
        </w:rPr>
      </w:pPr>
    </w:p>
    <w:p w:rsidR="002620F6" w:rsidRDefault="002620F6" w:rsidP="00151AF3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</w:pPr>
    </w:p>
    <w:p w:rsidR="002620F6" w:rsidRDefault="002620F6" w:rsidP="00151AF3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</w:pPr>
    </w:p>
    <w:p w:rsidR="00151AF3" w:rsidRPr="00C47F46" w:rsidRDefault="00347B3D" w:rsidP="00151AF3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</w:pPr>
      <w:r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 xml:space="preserve">Cód. 1028 - </w:t>
      </w:r>
      <w:r w:rsidR="00151AF3" w:rsidRPr="00C47F46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>Co</w:t>
      </w:r>
      <w:r w:rsidR="00C56F69" w:rsidRPr="00C47F46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>nhecimento Científico e Tecnoló</w:t>
      </w:r>
      <w:r w:rsidR="00BF111E" w:rsidRPr="00C47F46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>gico para a Inovaç</w:t>
      </w:r>
      <w:r w:rsidR="00151AF3" w:rsidRPr="00C47F46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>ões na</w:t>
      </w:r>
      <w:r w:rsidR="00C56F69" w:rsidRPr="00C47F46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 xml:space="preserve"> </w:t>
      </w:r>
      <w:r w:rsidR="00151AF3" w:rsidRPr="00C47F46">
        <w:rPr>
          <w:rFonts w:ascii="KorolevCondensed-Bold" w:hAnsi="KorolevCondensed-Bold" w:cs="KorolevCondensed-Bold"/>
          <w:b/>
          <w:bCs/>
          <w:color w:val="000000"/>
          <w:sz w:val="32"/>
          <w:szCs w:val="32"/>
        </w:rPr>
        <w:t>Agropecuária</w:t>
      </w:r>
    </w:p>
    <w:p w:rsidR="00434B5D" w:rsidRPr="00434B5D" w:rsidRDefault="00434B5D" w:rsidP="00434B5D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Cs/>
          <w:sz w:val="28"/>
          <w:szCs w:val="28"/>
        </w:rPr>
      </w:pPr>
      <w:r w:rsidRPr="00434B5D">
        <w:rPr>
          <w:rFonts w:ascii="KorolevCondensed-Bold" w:hAnsi="KorolevCondensed-Bold" w:cs="KorolevCondensed-Bold"/>
          <w:bCs/>
          <w:sz w:val="28"/>
          <w:szCs w:val="28"/>
        </w:rPr>
        <w:t xml:space="preserve">Órgão </w:t>
      </w:r>
      <w:r w:rsidR="006C4A9C">
        <w:rPr>
          <w:rFonts w:ascii="KorolevCondensed-Bold" w:hAnsi="KorolevCondensed-Bold" w:cs="KorolevCondensed-Bold"/>
          <w:bCs/>
          <w:sz w:val="28"/>
          <w:szCs w:val="28"/>
        </w:rPr>
        <w:t>R</w:t>
      </w:r>
      <w:r w:rsidRPr="00434B5D">
        <w:rPr>
          <w:rFonts w:ascii="KorolevCondensed-Bold" w:hAnsi="KorolevCondensed-Bold" w:cs="KorolevCondensed-Bold"/>
          <w:bCs/>
          <w:sz w:val="28"/>
          <w:szCs w:val="28"/>
        </w:rPr>
        <w:t>esponsável: Ministério da Agricultura, Pecuária e Abastecimento</w:t>
      </w:r>
    </w:p>
    <w:p w:rsidR="00BF111E" w:rsidRPr="00BF111E" w:rsidRDefault="00BF111E" w:rsidP="00151AF3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000000"/>
          <w:sz w:val="16"/>
          <w:szCs w:val="16"/>
        </w:rPr>
      </w:pPr>
    </w:p>
    <w:p w:rsidR="007A0666" w:rsidRDefault="00151AF3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ED3EC4">
        <w:rPr>
          <w:rFonts w:ascii="Aller-Light" w:hAnsi="Aller-Light" w:cs="Aller-Light"/>
          <w:color w:val="434041"/>
          <w:sz w:val="24"/>
          <w:szCs w:val="24"/>
        </w:rPr>
        <w:t>Em relação a produzir conhecimento científico e tecnológico para a geração de inovações na agropecuária,</w:t>
      </w:r>
      <w:r w:rsidR="007A0666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em 2016, a meta de 800 projetos de pesquisa, desenvolvimento e inovação em execução por ano foi</w:t>
      </w:r>
      <w:r w:rsidR="007A0666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superada com um conjunto de 1.390 projetos finalizados e em andamento, sendo que 46% deles foram</w:t>
      </w:r>
      <w:r w:rsidR="007A0666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parcialmente custeados por fontes externas. No total, esses projetos geraram ganhos para vários temas,</w:t>
      </w:r>
      <w:r w:rsidR="007A0666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entre os quais os seguintes destaques:</w:t>
      </w:r>
      <w:r w:rsidR="007A0666">
        <w:rPr>
          <w:rFonts w:ascii="Aller-Light" w:hAnsi="Aller-Light" w:cs="Aller-Light"/>
          <w:color w:val="434041"/>
          <w:sz w:val="24"/>
          <w:szCs w:val="24"/>
        </w:rPr>
        <w:t xml:space="preserve"> </w:t>
      </w:r>
    </w:p>
    <w:p w:rsidR="00151AF3" w:rsidRPr="0086560F" w:rsidRDefault="00151AF3" w:rsidP="00ED319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86560F">
        <w:rPr>
          <w:rFonts w:ascii="Aller-Light" w:hAnsi="Aller-Light" w:cs="Aller-Light"/>
          <w:color w:val="434041"/>
          <w:sz w:val="24"/>
          <w:szCs w:val="24"/>
        </w:rPr>
        <w:t>Aproveitamento sustentável dos recursos naturais com vistas à sustentabilidade da agricultura: o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sistema de irrigação por gotejamento, acionado e controlado por luz solar, foi a solução tecnológica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mais demandada via atendimentos do SAC Embrapa. Foram quase 2,5 mil atendimentos em 2016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relacionados à tecnologia disponibilizada. Outros destaques foram o desenvolvimento de protocolos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silviculturais para espécies florestais; descrição de novas espécies e valoração de serviços ambientais;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aprimoramento do zoneamento agrícola do sistema de produção de soja e milho safrinha em Mato</w:t>
      </w:r>
    </w:p>
    <w:p w:rsidR="00151AF3" w:rsidRPr="0086560F" w:rsidRDefault="00151AF3" w:rsidP="00ED319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86560F">
        <w:rPr>
          <w:rFonts w:ascii="Aller-Light" w:hAnsi="Aller-Light" w:cs="Aller-Light"/>
          <w:color w:val="434041"/>
          <w:sz w:val="24"/>
          <w:szCs w:val="24"/>
        </w:rPr>
        <w:t>Grosso do Sul com a elaboração de uma base de dados georreferenciados; indicação de modelo de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Sistemas Agroflorestais para regiões específicas do estado do Amazonas; metodologia de clonagem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de babaçu; planejamento do uso da água no Perímetro Irrigado Pontal Sul, no Vale do São Francisco;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 xml:space="preserve">lançamento de uma cultivar de maracujazeiro silvestre para consumo </w:t>
      </w:r>
      <w:r w:rsidRPr="0086560F">
        <w:rPr>
          <w:rFonts w:ascii="Aller-LightItalic" w:hAnsi="Aller-LightItalic" w:cs="Aller-LightItalic"/>
          <w:i/>
          <w:iCs/>
          <w:color w:val="434041"/>
          <w:sz w:val="24"/>
          <w:szCs w:val="24"/>
        </w:rPr>
        <w:t xml:space="preserve">in natura;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recomendação de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sistemas de cultivo e cultivares de maracujazeiro; cultivar de mandioca mais produtiva para a indústria,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indicada para cultivo nos estados de Mato Grosso do Sul e Paraná (BRS CS 1); e o software WebGISGeoSaltus,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que permite a integração de bases de dados geográficos provenientes de várias fontes;</w:t>
      </w:r>
    </w:p>
    <w:p w:rsidR="007A0666" w:rsidRPr="0086560F" w:rsidRDefault="00151AF3" w:rsidP="00ED319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86560F">
        <w:rPr>
          <w:rFonts w:ascii="Aller-Light" w:hAnsi="Aller-Light" w:cs="Aller-Light"/>
          <w:color w:val="434041"/>
          <w:sz w:val="24"/>
          <w:szCs w:val="24"/>
        </w:rPr>
        <w:t>Soluções para ampliar a capacidade de adaptação da agricultura face às mudanças climáticas: sistema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de informação para avaliação das alterações em variáveis meteorológicas causadas pelas mudanças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climáticas; balanço de estoques de carbono e emissões de gases de efeito estufa em sistemas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agropecuários; diferentes formas de controle da população fúngica associada às sementes de dendê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e definição de níveis de emissões de gases de efeito estufa em ambientes de produção do Nordeste;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lançamento de cultivares de dendezeiro BRS Tenera indicadas para cultivo em Roraima; e software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associado para coleta de dados;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</w:p>
    <w:p w:rsidR="00151AF3" w:rsidRPr="0086560F" w:rsidRDefault="00151AF3" w:rsidP="00ED319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86560F">
        <w:rPr>
          <w:rFonts w:ascii="Aller-Light" w:hAnsi="Aller-Light" w:cs="Aller-Light"/>
          <w:color w:val="434041"/>
          <w:sz w:val="24"/>
          <w:szCs w:val="24"/>
        </w:rPr>
        <w:lastRenderedPageBreak/>
        <w:t>Produção de conhecimento em ciências emergentes como biotecnologia, nanotecnologia e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geotecnologias: um dos destaques do ano com ampla repercussão na mídia foi a tecnologia denominada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transferência intrafolicular de ovócitos imaturos (TIFOI), desenvolvida pela Embrapa e parceiros. Tratase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de uma biotécnica que apresenta todas as vantagens da fecundação in vitro (FIV) com um benefício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adicional: o fato de não precisar de laboratório para ser realizada. Outros destaques foram as cultivares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de soja lançadas pela Embrapa e a Fundação Meridional de Apoio à Pesquisa – a BRS 1010 IPRO, a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BRS 388RR e a BRS 399RR. A Embrapa desenvolveu ainda ações de enriquecimento e/ou manutenção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de coleção biológica, adensamento de plantio de citros no Nordeste e Norte, identificação de genes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relacionados à resistência de trigo à brusone, identificação de proteínas diferencialmente expressas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 xml:space="preserve">relacionadas à qualidade da carne, banco de dados de sequências expressas em </w:t>
      </w:r>
      <w:r w:rsidRPr="0086560F">
        <w:rPr>
          <w:rFonts w:ascii="Aller-LightItalic" w:hAnsi="Aller-LightItalic" w:cs="Aller-LightItalic"/>
          <w:i/>
          <w:iCs/>
          <w:color w:val="434041"/>
          <w:sz w:val="24"/>
          <w:szCs w:val="24"/>
        </w:rPr>
        <w:t xml:space="preserve">Cenchrus ciliaris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em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resposta ao déficit hídrico, mapeamento do estoque de carbono de florestas naturais por sensoriamento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remoto e teste tipo ELISA visando à detecção do vírus da bronquite infecciosa aviária;</w:t>
      </w:r>
    </w:p>
    <w:p w:rsidR="0086560F" w:rsidRPr="0086560F" w:rsidRDefault="00151AF3" w:rsidP="00ED319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86560F">
        <w:rPr>
          <w:rFonts w:ascii="Aller-Light" w:hAnsi="Aller-Light" w:cs="Aller-Light"/>
          <w:color w:val="434041"/>
          <w:sz w:val="24"/>
          <w:szCs w:val="24"/>
        </w:rPr>
        <w:t>Produção de conhecimentos em automação, agricultura de precisão e tecnologias da informação e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comunicação (TICs): a Embrapa, em parceria com a iniciativa privada, desenvolveu um pacote tecnológico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destinado à análise de solos. Denominado SpecSolo, ele tem a vantagem de analisar as amostras de</w:t>
      </w:r>
      <w:r w:rsidR="0086560F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solo de forma não destrutiva, rápida e econômica. Adicionalmente, destacam-se nesta vertente: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identificação de regiões genômicas relacionadas às características de produção da raça Guzerá; base de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dados geoespaciais da dinâmica de gases de efeito estufa em sistemas de produção da agropecuária</w:t>
      </w:r>
      <w:r w:rsidR="0086560F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brasileira; avaliação do escore da condição corporal em vacas de leite por análise de imagens; método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para detecção de adulteração em leite por ressonância magnética nuclear; modelos de transferência e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licenciamento de TICs para a agropecuária; e software para predição de valores genômicos;</w:t>
      </w:r>
    </w:p>
    <w:p w:rsidR="00151AF3" w:rsidRPr="0086560F" w:rsidRDefault="00151AF3" w:rsidP="00ED319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86560F">
        <w:rPr>
          <w:rFonts w:ascii="Aller-Light" w:hAnsi="Aller-Light" w:cs="Aller-Light"/>
          <w:color w:val="434041"/>
          <w:sz w:val="24"/>
          <w:szCs w:val="24"/>
        </w:rPr>
        <w:t>Segurança biológica e proteção zoofitosanitária das cadeias produtivas para a produção agropecuária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sustentável e competitiva: lançada em 2016, a BRS Catiana é a nova opção cultivar de arroz irrigado,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desenvolvida pela Embrapa e adaptada para os produtores rurais tocantinenses e para várias regiões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do país. Além da alta produtividade, são características do arroz a resistência à brusone, principal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doença que ataca a cultura no Brasil, alta tolerância ao acamamento e facilidade de cozimento. Outros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resultados de destaque nesta vertente são: protótipo de equipamento para mensuração automatizada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de variáveis fisiológicas em bovinos; avanço no conhecimento da biologia e epidemiologia das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 xml:space="preserve">infecções causadas pelo </w:t>
      </w:r>
      <w:r w:rsidRPr="0086560F">
        <w:rPr>
          <w:rFonts w:ascii="Aller-LightItalic" w:hAnsi="Aller-LightItalic" w:cs="Aller-LightItalic"/>
          <w:i/>
          <w:iCs/>
          <w:color w:val="434041"/>
          <w:sz w:val="24"/>
          <w:szCs w:val="24"/>
        </w:rPr>
        <w:t xml:space="preserve">Senecavirus A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em suínos nos Estados Unidos e no Brasil; conjunto de dados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sobre ocorrência de pragas, doenças e plantas daninhas em função de práticas de manejo em sistema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de produção de cana-de-açúcar; monitoramento e manejo de pragas na cultura da soja; banco de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 xml:space="preserve">dados sobre </w:t>
      </w:r>
      <w:r w:rsidRPr="0086560F">
        <w:rPr>
          <w:rFonts w:ascii="Aller-LightItalic" w:hAnsi="Aller-LightItalic" w:cs="Aller-LightItalic"/>
          <w:i/>
          <w:iCs/>
          <w:color w:val="434041"/>
          <w:sz w:val="24"/>
          <w:szCs w:val="24"/>
        </w:rPr>
        <w:t xml:space="preserve">Psylloidea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no Brasil; avaliação da adaptabilidade ao calor em bovinos e ovinos de corte e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 xml:space="preserve">processo de detecção de </w:t>
      </w:r>
      <w:r w:rsidRPr="0086560F">
        <w:rPr>
          <w:rFonts w:ascii="Aller-LightItalic" w:hAnsi="Aller-LightItalic" w:cs="Aller-LightItalic"/>
          <w:i/>
          <w:iCs/>
          <w:color w:val="434041"/>
          <w:sz w:val="24"/>
          <w:szCs w:val="24"/>
        </w:rPr>
        <w:t xml:space="preserve">Mycobacterium bovis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no leite, queijos frescos e carne;</w:t>
      </w:r>
    </w:p>
    <w:p w:rsidR="00151AF3" w:rsidRPr="0086560F" w:rsidRDefault="00151AF3" w:rsidP="00ED319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86560F">
        <w:rPr>
          <w:rFonts w:ascii="Aller-Light" w:hAnsi="Aller-Light" w:cs="Aller-Light"/>
          <w:color w:val="434041"/>
          <w:sz w:val="24"/>
          <w:szCs w:val="24"/>
        </w:rPr>
        <w:t>Desenvolvimento de sistemas de produção inovadores e sustentáveis para a produção agropecuária,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florestal e aquícola brasileiras: em 2016, a uva BRS Vitória conquistou espaço em redes supermercadistas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de todo o Brasil. Outro destaque dos programas de melhoramento da Embrapa é a cultivar de trigo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lastRenderedPageBreak/>
        <w:t>BRS 394, para a região do Cerrado do Brasil central, que começou a conquistar o mercado em 2016.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O trigo desenvolvido apresenta qualidade industrial voltada à panificação. Para a cadeia produtiva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do arroz, destaque para a nova cultivar BRS 358 com um aspecto mais pegajoso, bastante valorizado,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por exemplo, pela culinária japonesa. Outro destaque foi o lançamento de processos agroindustriais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para produtos cárneos ovinos: presunto ovino curado tipo espanhol (defumado ou não), presunto</w:t>
      </w:r>
      <w:r w:rsidR="007A0666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ovino curado tipo norueguês (defumado ou não), copa ovina (defumada ou não), copa ovina defumada</w:t>
      </w:r>
      <w:r w:rsidR="006A7BEF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Italic" w:hAnsi="Aller-LightItalic" w:cs="Aller-LightItalic"/>
          <w:i/>
          <w:iCs/>
          <w:color w:val="434041"/>
          <w:sz w:val="24"/>
          <w:szCs w:val="24"/>
        </w:rPr>
        <w:t>winery</w:t>
      </w:r>
      <w:r w:rsidRPr="0086560F">
        <w:rPr>
          <w:rFonts w:ascii="Aller-Light" w:hAnsi="Aller-Light" w:cs="Aller-Light"/>
          <w:color w:val="434041"/>
          <w:sz w:val="24"/>
          <w:szCs w:val="24"/>
        </w:rPr>
        <w:t xml:space="preserve">, copa ovina defumada </w:t>
      </w:r>
      <w:r w:rsidRPr="0086560F">
        <w:rPr>
          <w:rFonts w:ascii="Aller-LightItalic" w:hAnsi="Aller-LightItalic" w:cs="Aller-LightItalic"/>
          <w:i/>
          <w:iCs/>
          <w:color w:val="434041"/>
          <w:sz w:val="24"/>
          <w:szCs w:val="24"/>
        </w:rPr>
        <w:t xml:space="preserve">brewery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 xml:space="preserve">e linguiça ovina </w:t>
      </w:r>
      <w:r w:rsidRPr="0086560F">
        <w:rPr>
          <w:rFonts w:ascii="Aller-LightItalic" w:hAnsi="Aller-LightItalic" w:cs="Aller-LightItalic"/>
          <w:i/>
          <w:iCs/>
          <w:color w:val="434041"/>
          <w:sz w:val="24"/>
          <w:szCs w:val="24"/>
        </w:rPr>
        <w:t>light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;</w:t>
      </w:r>
    </w:p>
    <w:p w:rsidR="00151AF3" w:rsidRPr="0086560F" w:rsidRDefault="00151AF3" w:rsidP="00ED319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86560F">
        <w:rPr>
          <w:rFonts w:ascii="Aller-Light" w:hAnsi="Aller-Light" w:cs="Aller-Light"/>
          <w:color w:val="434041"/>
          <w:sz w:val="24"/>
          <w:szCs w:val="24"/>
        </w:rPr>
        <w:t>Produção de conhecimento para apoiar a formulação e a melhoria de políticas públicas, mercados,</w:t>
      </w:r>
      <w:r w:rsidR="006A7BEF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política e desenvolvimento rural: estruturação e implantação de sistema de vigilância epidemiológica</w:t>
      </w:r>
      <w:r w:rsidR="006A7BEF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de suídeos asselvajados, estruturação e diagnóstico do Pacto pelo Sinal Verde da Qualidade da Carne</w:t>
      </w:r>
      <w:r w:rsidR="006A7BEF" w:rsidRPr="0086560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86560F">
        <w:rPr>
          <w:rFonts w:ascii="Aller-Light" w:hAnsi="Aller-Light" w:cs="Aller-Light"/>
          <w:color w:val="434041"/>
          <w:sz w:val="24"/>
          <w:szCs w:val="24"/>
        </w:rPr>
        <w:t>Bovina no MS.</w:t>
      </w:r>
    </w:p>
    <w:p w:rsidR="00C56F69" w:rsidRPr="00C56F69" w:rsidRDefault="00C56F69" w:rsidP="00ED319B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16"/>
          <w:szCs w:val="16"/>
        </w:rPr>
      </w:pPr>
    </w:p>
    <w:p w:rsidR="00151AF3" w:rsidRPr="00C47F46" w:rsidRDefault="00347B3D" w:rsidP="00151AF3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434041"/>
          <w:sz w:val="32"/>
          <w:szCs w:val="32"/>
        </w:rPr>
      </w:pPr>
      <w:r>
        <w:rPr>
          <w:rFonts w:ascii="KorolevCondensed-Bold" w:hAnsi="KorolevCondensed-Bold" w:cs="KorolevCondensed-Bold"/>
          <w:b/>
          <w:bCs/>
          <w:color w:val="434041"/>
          <w:sz w:val="32"/>
          <w:szCs w:val="32"/>
        </w:rPr>
        <w:t xml:space="preserve">Cód. 1029 - </w:t>
      </w:r>
      <w:r w:rsidR="00151AF3" w:rsidRPr="00C47F46">
        <w:rPr>
          <w:rFonts w:ascii="KorolevCondensed-Bold" w:hAnsi="KorolevCondensed-Bold" w:cs="KorolevCondensed-Bold"/>
          <w:b/>
          <w:bCs/>
          <w:color w:val="434041"/>
          <w:sz w:val="32"/>
          <w:szCs w:val="32"/>
        </w:rPr>
        <w:t>Soluções Inovadoras pelas Cadeias e Arranjos Produtivos</w:t>
      </w:r>
      <w:r w:rsidR="00C56F69" w:rsidRPr="00C47F46">
        <w:rPr>
          <w:rFonts w:ascii="KorolevCondensed-Bold" w:hAnsi="KorolevCondensed-Bold" w:cs="KorolevCondensed-Bold"/>
          <w:b/>
          <w:bCs/>
          <w:color w:val="434041"/>
          <w:sz w:val="32"/>
          <w:szCs w:val="32"/>
        </w:rPr>
        <w:t xml:space="preserve"> </w:t>
      </w:r>
      <w:r w:rsidR="00151AF3" w:rsidRPr="00C47F46">
        <w:rPr>
          <w:rFonts w:ascii="KorolevCondensed-Bold" w:hAnsi="KorolevCondensed-Bold" w:cs="KorolevCondensed-Bold"/>
          <w:b/>
          <w:bCs/>
          <w:color w:val="434041"/>
          <w:sz w:val="32"/>
          <w:szCs w:val="32"/>
        </w:rPr>
        <w:t>da Agropecuária</w:t>
      </w:r>
    </w:p>
    <w:p w:rsidR="00434B5D" w:rsidRPr="00434B5D" w:rsidRDefault="00434B5D" w:rsidP="00434B5D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Cs/>
          <w:sz w:val="28"/>
          <w:szCs w:val="28"/>
        </w:rPr>
      </w:pPr>
      <w:r w:rsidRPr="00434B5D">
        <w:rPr>
          <w:rFonts w:ascii="KorolevCondensed-Bold" w:hAnsi="KorolevCondensed-Bold" w:cs="KorolevCondensed-Bold"/>
          <w:bCs/>
          <w:sz w:val="28"/>
          <w:szCs w:val="28"/>
        </w:rPr>
        <w:t xml:space="preserve">Órgão </w:t>
      </w:r>
      <w:r w:rsidR="006C4A9C">
        <w:rPr>
          <w:rFonts w:ascii="KorolevCondensed-Bold" w:hAnsi="KorolevCondensed-Bold" w:cs="KorolevCondensed-Bold"/>
          <w:bCs/>
          <w:sz w:val="28"/>
          <w:szCs w:val="28"/>
        </w:rPr>
        <w:t>R</w:t>
      </w:r>
      <w:r w:rsidRPr="00434B5D">
        <w:rPr>
          <w:rFonts w:ascii="KorolevCondensed-Bold" w:hAnsi="KorolevCondensed-Bold" w:cs="KorolevCondensed-Bold"/>
          <w:bCs/>
          <w:sz w:val="28"/>
          <w:szCs w:val="28"/>
        </w:rPr>
        <w:t>esponsável: Ministério da Agricultura, Pecuária e Abastecimento</w:t>
      </w:r>
    </w:p>
    <w:p w:rsidR="00C56F69" w:rsidRPr="00C47F46" w:rsidRDefault="00C56F69" w:rsidP="00151AF3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434041"/>
          <w:sz w:val="32"/>
          <w:szCs w:val="32"/>
        </w:rPr>
      </w:pPr>
    </w:p>
    <w:p w:rsidR="00151AF3" w:rsidRPr="006A7BEF" w:rsidRDefault="00151AF3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>
        <w:rPr>
          <w:rFonts w:ascii="Aller-Light" w:hAnsi="Aller-Light" w:cs="Aller-Light"/>
          <w:color w:val="434041"/>
          <w:sz w:val="20"/>
          <w:szCs w:val="20"/>
        </w:rPr>
        <w:t xml:space="preserve">Em relação ao objetivo de promover a incorporação de soluções inovadoras pelas cadeias e </w:t>
      </w:r>
      <w:r w:rsidRPr="006A7BEF">
        <w:rPr>
          <w:rFonts w:ascii="Aller-Light" w:hAnsi="Aller-Light" w:cs="Aller-Light"/>
          <w:color w:val="434041"/>
          <w:sz w:val="24"/>
          <w:szCs w:val="24"/>
        </w:rPr>
        <w:t>arranjos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6A7BEF">
        <w:rPr>
          <w:rFonts w:ascii="Aller-Light" w:hAnsi="Aller-Light" w:cs="Aller-Light"/>
          <w:color w:val="434041"/>
          <w:sz w:val="24"/>
          <w:szCs w:val="24"/>
        </w:rPr>
        <w:t>produtivos da agropecuária para aumento da produtividade, competitividade e sustentabilidade, em 2016,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6A7BEF">
        <w:rPr>
          <w:rFonts w:ascii="Aller-Light" w:hAnsi="Aller-Light" w:cs="Aller-Light"/>
          <w:color w:val="434041"/>
          <w:sz w:val="24"/>
          <w:szCs w:val="24"/>
        </w:rPr>
        <w:t>os principais resultados da Embrapa para o alcance desse objetivo foram os seguintes: realização de 537</w:t>
      </w:r>
    </w:p>
    <w:p w:rsidR="00151AF3" w:rsidRPr="006A7BEF" w:rsidRDefault="00151AF3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6A7BEF">
        <w:rPr>
          <w:rFonts w:ascii="Aller-Light" w:hAnsi="Aller-Light" w:cs="Aller-Light"/>
          <w:color w:val="434041"/>
          <w:sz w:val="24"/>
          <w:szCs w:val="24"/>
        </w:rPr>
        <w:t>acordos de âmbito nacional na área de propriedade industrial e de melhoramento genético, linha de ação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6A7BEF">
        <w:rPr>
          <w:rFonts w:ascii="Aller-Light" w:hAnsi="Aller-Light" w:cs="Aller-Light"/>
          <w:color w:val="434041"/>
          <w:sz w:val="24"/>
          <w:szCs w:val="24"/>
        </w:rPr>
        <w:t>que contribui diretamente para o crescimento sustentável do setor agropecuário, ao mesmo tempo em que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6A7BEF">
        <w:rPr>
          <w:rFonts w:ascii="Aller-Light" w:hAnsi="Aller-Light" w:cs="Aller-Light"/>
          <w:color w:val="434041"/>
          <w:sz w:val="24"/>
          <w:szCs w:val="24"/>
        </w:rPr>
        <w:t>garante a estratégica presença do Estado no mercado de inovações e ativos agropecuários, e capacitação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6A7BEF">
        <w:rPr>
          <w:rFonts w:ascii="Aller-Light" w:hAnsi="Aller-Light" w:cs="Aller-Light"/>
          <w:color w:val="434041"/>
          <w:sz w:val="24"/>
          <w:szCs w:val="24"/>
        </w:rPr>
        <w:t>de 2.000 multiplicadores, no âmbito nacional, em soluções tecnológicas desenvolvidas e validadas pela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6A7BEF">
        <w:rPr>
          <w:rFonts w:ascii="Aller-Light" w:hAnsi="Aller-Light" w:cs="Aller-Light"/>
          <w:color w:val="434041"/>
          <w:sz w:val="24"/>
          <w:szCs w:val="24"/>
        </w:rPr>
        <w:t>Embrapa. Outros resultados incluem a produção e veiculação de um total de 192 programas de rádio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6A7BEF">
        <w:rPr>
          <w:rFonts w:ascii="Aller-Light" w:hAnsi="Aller-Light" w:cs="Aller-Light"/>
          <w:color w:val="434041"/>
          <w:sz w:val="24"/>
          <w:szCs w:val="24"/>
        </w:rPr>
        <w:t>e de 38 programas televisivos Dia de Campo na TV e a distribuição de 170 kits de Minibibliotecas; o</w:t>
      </w:r>
    </w:p>
    <w:p w:rsidR="00151AF3" w:rsidRPr="006A7BEF" w:rsidRDefault="00151AF3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6A7BEF">
        <w:rPr>
          <w:rFonts w:ascii="Aller-Light" w:hAnsi="Aller-Light" w:cs="Aller-Light"/>
          <w:color w:val="434041"/>
          <w:sz w:val="24"/>
          <w:szCs w:val="24"/>
        </w:rPr>
        <w:t>desenvolvimento do sistema corporativo para gerenciar as soluções tecnológicas da Empresa – GESTEC; o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6A7BEF">
        <w:rPr>
          <w:rFonts w:ascii="Aller-Light" w:hAnsi="Aller-Light" w:cs="Aller-Light"/>
          <w:color w:val="434041"/>
          <w:sz w:val="24"/>
          <w:szCs w:val="24"/>
        </w:rPr>
        <w:t>desenvolvimento e disponibilização de oito aplicativos móveis, por meio de suas unidades de pesquisa: (i)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6A7BEF">
        <w:rPr>
          <w:rFonts w:ascii="Aller-Light" w:hAnsi="Aller-Light" w:cs="Aller-Light"/>
          <w:color w:val="434041"/>
          <w:sz w:val="24"/>
          <w:szCs w:val="24"/>
        </w:rPr>
        <w:t>Custo Fácil (Cálculo simplificado do custo de produção para produtores integrados), (ii) Roda da Reprodução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6A7BEF">
        <w:rPr>
          <w:rFonts w:ascii="Aller-Light" w:hAnsi="Aller-Light" w:cs="Aller-Light"/>
          <w:color w:val="434041"/>
          <w:sz w:val="24"/>
          <w:szCs w:val="24"/>
        </w:rPr>
        <w:t>(Gerenciamento de rebanhos leiteiros), (iii) Agritempo Móvel – (Informações agrometeorológicas dos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6A7BEF">
        <w:rPr>
          <w:rFonts w:ascii="Aller-Light" w:hAnsi="Aller-Light" w:cs="Aller-Light"/>
          <w:color w:val="434041"/>
          <w:sz w:val="24"/>
          <w:szCs w:val="24"/>
        </w:rPr>
        <w:t>estados brasileiros), (iv) Granucalc (Cálculo do Diâmetro Geométrico Médio e do Desvio Padrão Geométrico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6A7BEF">
        <w:rPr>
          <w:rFonts w:ascii="Aller-Light" w:hAnsi="Aller-Light" w:cs="Aller-Light"/>
          <w:color w:val="434041"/>
          <w:sz w:val="24"/>
          <w:szCs w:val="24"/>
        </w:rPr>
        <w:t>de partículas de ingredientes para ração de frangos e suínos), (v) DiagSui Embrapa (Orientações para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6A7BEF">
        <w:rPr>
          <w:rFonts w:ascii="Aller-Light" w:hAnsi="Aller-Light" w:cs="Aller-Light"/>
          <w:color w:val="434041"/>
          <w:sz w:val="24"/>
          <w:szCs w:val="24"/>
        </w:rPr>
        <w:t>diagnóstico laboratorial de doenças em suínos), (vi) GD Arroz (Planejamento e tomada de decisão no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6A7BEF">
        <w:rPr>
          <w:rFonts w:ascii="Aller-Light" w:hAnsi="Aller-Light" w:cs="Aller-Light"/>
          <w:color w:val="434041"/>
          <w:sz w:val="24"/>
          <w:szCs w:val="24"/>
        </w:rPr>
        <w:t>manejo da cultura do arroz irrigado), (vii) Sumário de Touros Nelore – Gene Plus (Sumário de touros da raça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6A7BEF">
        <w:rPr>
          <w:rFonts w:ascii="Aller-Light" w:hAnsi="Aller-Light" w:cs="Aller-Light"/>
          <w:color w:val="434041"/>
          <w:sz w:val="24"/>
          <w:szCs w:val="24"/>
        </w:rPr>
        <w:t>Nelore do programa Geneplus da Embrapa Gado de Corte) e (viii) Sumário de Touros Senepol (Sumário de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6A7BEF">
        <w:rPr>
          <w:rFonts w:ascii="Aller-Light" w:hAnsi="Aller-Light" w:cs="Aller-Light"/>
          <w:color w:val="434041"/>
          <w:sz w:val="24"/>
          <w:szCs w:val="24"/>
        </w:rPr>
        <w:t>touros da raça Senepol do programa Geneplus da Embrapa Gado de Corte); e a implantação de 70 Unidades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6A7BEF">
        <w:rPr>
          <w:rFonts w:ascii="Aller-Light" w:hAnsi="Aller-Light" w:cs="Aller-Light"/>
          <w:color w:val="434041"/>
          <w:sz w:val="24"/>
          <w:szCs w:val="24"/>
        </w:rPr>
        <w:t xml:space="preserve">de Referência Tecnológica, que disponibilizaram soluções tecnológicas recomendadas pelo </w:t>
      </w:r>
      <w:r w:rsidRPr="006A7BEF">
        <w:rPr>
          <w:rFonts w:ascii="Aller-Light" w:hAnsi="Aller-Light" w:cs="Aller-Light"/>
          <w:color w:val="434041"/>
          <w:sz w:val="24"/>
          <w:szCs w:val="24"/>
        </w:rPr>
        <w:lastRenderedPageBreak/>
        <w:t>programa ABC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6A7BEF">
        <w:rPr>
          <w:rFonts w:ascii="Aller-Light" w:hAnsi="Aller-Light" w:cs="Aller-Light"/>
          <w:color w:val="434041"/>
          <w:sz w:val="24"/>
          <w:szCs w:val="24"/>
        </w:rPr>
        <w:t>– Agricultura de Baixo Carbono e 20 Unidades de Aprendizagem – UAs.</w:t>
      </w:r>
    </w:p>
    <w:p w:rsidR="00C56F69" w:rsidRPr="006A7BEF" w:rsidRDefault="00C56F69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151AF3" w:rsidRPr="00C47F46" w:rsidRDefault="00347B3D" w:rsidP="00151AF3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434041"/>
          <w:sz w:val="32"/>
          <w:szCs w:val="32"/>
        </w:rPr>
      </w:pPr>
      <w:r>
        <w:rPr>
          <w:rFonts w:ascii="KorolevCondensed-Bold" w:hAnsi="KorolevCondensed-Bold" w:cs="KorolevCondensed-Bold"/>
          <w:b/>
          <w:bCs/>
          <w:color w:val="434041"/>
          <w:sz w:val="32"/>
          <w:szCs w:val="32"/>
        </w:rPr>
        <w:t xml:space="preserve">Cód. 1030 - </w:t>
      </w:r>
      <w:r w:rsidR="00C56F69" w:rsidRPr="00C47F46">
        <w:rPr>
          <w:rFonts w:ascii="KorolevCondensed-Bold" w:hAnsi="KorolevCondensed-Bold" w:cs="KorolevCondensed-Bold"/>
          <w:b/>
          <w:bCs/>
          <w:color w:val="434041"/>
          <w:sz w:val="32"/>
          <w:szCs w:val="32"/>
        </w:rPr>
        <w:t>Parcerias</w:t>
      </w:r>
      <w:r w:rsidR="00151AF3" w:rsidRPr="00C47F46">
        <w:rPr>
          <w:rFonts w:ascii="KorolevCondensed-Bold" w:hAnsi="KorolevCondensed-Bold" w:cs="KorolevCondensed-Bold"/>
          <w:b/>
          <w:bCs/>
          <w:color w:val="434041"/>
          <w:sz w:val="32"/>
          <w:szCs w:val="32"/>
        </w:rPr>
        <w:t>, Processos, Recursos Humanos e</w:t>
      </w:r>
      <w:r w:rsidR="00ED3EC4" w:rsidRPr="00C47F46">
        <w:rPr>
          <w:rFonts w:ascii="KorolevCondensed-Bold" w:hAnsi="KorolevCondensed-Bold" w:cs="KorolevCondensed-Bold"/>
          <w:b/>
          <w:bCs/>
          <w:color w:val="434041"/>
          <w:sz w:val="32"/>
          <w:szCs w:val="32"/>
        </w:rPr>
        <w:t xml:space="preserve"> </w:t>
      </w:r>
      <w:r w:rsidR="00C56F69" w:rsidRPr="00C47F46">
        <w:rPr>
          <w:rFonts w:ascii="KorolevCondensed-Bold" w:hAnsi="KorolevCondensed-Bold" w:cs="KorolevCondensed-Bold"/>
          <w:b/>
          <w:bCs/>
          <w:color w:val="434041"/>
          <w:sz w:val="32"/>
          <w:szCs w:val="32"/>
        </w:rPr>
        <w:t>Infraestruturas Estrat</w:t>
      </w:r>
      <w:r w:rsidR="00151AF3" w:rsidRPr="00C47F46">
        <w:rPr>
          <w:rFonts w:ascii="KorolevCondensed-Bold" w:hAnsi="KorolevCondensed-Bold" w:cs="KorolevCondensed-Bold"/>
          <w:b/>
          <w:bCs/>
          <w:color w:val="434041"/>
          <w:sz w:val="32"/>
          <w:szCs w:val="32"/>
        </w:rPr>
        <w:t>égicas</w:t>
      </w:r>
    </w:p>
    <w:p w:rsidR="00434B5D" w:rsidRPr="00434B5D" w:rsidRDefault="00434B5D" w:rsidP="00434B5D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Cs/>
          <w:sz w:val="28"/>
          <w:szCs w:val="28"/>
        </w:rPr>
      </w:pPr>
      <w:r w:rsidRPr="00434B5D">
        <w:rPr>
          <w:rFonts w:ascii="KorolevCondensed-Bold" w:hAnsi="KorolevCondensed-Bold" w:cs="KorolevCondensed-Bold"/>
          <w:bCs/>
          <w:sz w:val="28"/>
          <w:szCs w:val="28"/>
        </w:rPr>
        <w:t xml:space="preserve">Órgão </w:t>
      </w:r>
      <w:r w:rsidR="006C4A9C">
        <w:rPr>
          <w:rFonts w:ascii="KorolevCondensed-Bold" w:hAnsi="KorolevCondensed-Bold" w:cs="KorolevCondensed-Bold"/>
          <w:bCs/>
          <w:sz w:val="28"/>
          <w:szCs w:val="28"/>
        </w:rPr>
        <w:t>R</w:t>
      </w:r>
      <w:r w:rsidRPr="00434B5D">
        <w:rPr>
          <w:rFonts w:ascii="KorolevCondensed-Bold" w:hAnsi="KorolevCondensed-Bold" w:cs="KorolevCondensed-Bold"/>
          <w:bCs/>
          <w:sz w:val="28"/>
          <w:szCs w:val="28"/>
        </w:rPr>
        <w:t>esponsável: Ministério da Agricultura, Pecuária e Abastecimento</w:t>
      </w:r>
    </w:p>
    <w:p w:rsidR="00C56F69" w:rsidRPr="00C56F69" w:rsidRDefault="00C56F69" w:rsidP="00151AF3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434041"/>
          <w:sz w:val="16"/>
          <w:szCs w:val="16"/>
        </w:rPr>
      </w:pPr>
    </w:p>
    <w:p w:rsidR="00ED319B" w:rsidRDefault="00151AF3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ED3EC4">
        <w:rPr>
          <w:rFonts w:ascii="Aller-Light" w:hAnsi="Aller-Light" w:cs="Aller-Light"/>
          <w:color w:val="434041"/>
          <w:sz w:val="24"/>
          <w:szCs w:val="24"/>
        </w:rPr>
        <w:t>No objetivo de aprimorar parcerias, processos, recursos humanos e infraestruturas estratégicas no país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para a pesquisa, o desenvolvimento e as inovações da agropecuária, a Embrapa centrou sua atenção em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duas frentes: a primeira, relacionada ao seu contexto de atuação, envolveu esforços para construção de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parcerias de cooperação técnica e financeira, transferência de tecnologia e inovação, bem como atuação na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formulação de políticas públicas; a segunda, voltada para sua gestão, buscou avanços no compartilhamento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e gestão conjunta de infraestruturas laboratoriais e aprimoramento do seu processo de gestão.</w:t>
      </w:r>
    </w:p>
    <w:p w:rsidR="00151AF3" w:rsidRPr="00ED3EC4" w:rsidRDefault="00151AF3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FFFFFF"/>
          <w:sz w:val="24"/>
          <w:szCs w:val="24"/>
        </w:rPr>
      </w:pPr>
      <w:r w:rsidRPr="00ED3EC4">
        <w:rPr>
          <w:rFonts w:ascii="Aller-Light" w:hAnsi="Aller-Light" w:cs="Aller-Light"/>
          <w:color w:val="FFFFFF"/>
          <w:sz w:val="24"/>
          <w:szCs w:val="24"/>
        </w:rPr>
        <w:t>35</w:t>
      </w:r>
    </w:p>
    <w:p w:rsidR="00151AF3" w:rsidRDefault="00151AF3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ED3EC4">
        <w:rPr>
          <w:rFonts w:ascii="Aller-Light" w:hAnsi="Aller-Light" w:cs="Aller-Light"/>
          <w:color w:val="434041"/>
          <w:sz w:val="24"/>
          <w:szCs w:val="24"/>
        </w:rPr>
        <w:t>Os resultados alcançados no âmbito externo são os seguintes: assinatura de 225 contratos para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cooperação técnica ou financeira, nacionais e internacionais, além da elaboração de projetos em inovação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e transferência de tecnologia com 537 instituições brasileiras; colaboração na execução de várias políticas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e planos de governo, tais como: Política Nacional de Agroecologia e Produção Orgânica, Plano Brasil sem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Miséria, Plano ABC (Agricultura de Baixa Emissão de Carbono), Política Nacional de integração lavourapecuária-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floresta (iLPF), Plano Nacional de Inovação para Agricultura Familiar, entre outras; consolidação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de alianças estratégicas com 103 instituições em 92 projetos de P,D&amp;I no programa Pesquisa Café. Foram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também assinados instrumentos de cooperação científica com centros de pesquisa de diversos países,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incluindo França, Uruguai, EUA, Tunísia, Uganda e Cuba. Destaca-se também a promoção da integração da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pesquisa e da assistência técnica e extensão rural, em colaboração com a Anater, pelo fomento à adoção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de novas tecnologias pelos produtores e à qualificação de profissionais de assistência técnica e extensão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rural com foco no desenvolvimento rural sustentável.</w:t>
      </w:r>
    </w:p>
    <w:p w:rsidR="00ED3EC4" w:rsidRPr="00C56F69" w:rsidRDefault="00ED3EC4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16"/>
          <w:szCs w:val="16"/>
        </w:rPr>
      </w:pPr>
    </w:p>
    <w:p w:rsidR="00151AF3" w:rsidRPr="00C47F46" w:rsidRDefault="00347B3D" w:rsidP="00151AF3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434041"/>
          <w:sz w:val="32"/>
          <w:szCs w:val="32"/>
        </w:rPr>
      </w:pPr>
      <w:r>
        <w:rPr>
          <w:rFonts w:ascii="KorolevCondensed-Bold" w:hAnsi="KorolevCondensed-Bold" w:cs="KorolevCondensed-Bold"/>
          <w:b/>
          <w:bCs/>
          <w:color w:val="434041"/>
          <w:sz w:val="32"/>
          <w:szCs w:val="32"/>
        </w:rPr>
        <w:t xml:space="preserve">Cód. 1034 - </w:t>
      </w:r>
      <w:r w:rsidR="00151AF3" w:rsidRPr="00C47F46">
        <w:rPr>
          <w:rFonts w:ascii="KorolevCondensed-Bold" w:hAnsi="KorolevCondensed-Bold" w:cs="KorolevCondensed-Bold"/>
          <w:b/>
          <w:bCs/>
          <w:color w:val="434041"/>
          <w:sz w:val="32"/>
          <w:szCs w:val="32"/>
        </w:rPr>
        <w:t>Competitividade e sustentabilidade agropecuária,</w:t>
      </w:r>
      <w:r w:rsidR="00ED3EC4" w:rsidRPr="00C47F46">
        <w:rPr>
          <w:rFonts w:ascii="KorolevCondensed-Bold" w:hAnsi="KorolevCondensed-Bold" w:cs="KorolevCondensed-Bold"/>
          <w:b/>
          <w:bCs/>
          <w:color w:val="434041"/>
          <w:sz w:val="32"/>
          <w:szCs w:val="32"/>
        </w:rPr>
        <w:t xml:space="preserve"> </w:t>
      </w:r>
      <w:r w:rsidR="00151AF3" w:rsidRPr="00C47F46">
        <w:rPr>
          <w:rFonts w:ascii="KorolevCondensed-Bold" w:hAnsi="KorolevCondensed-Bold" w:cs="KorolevCondensed-Bold"/>
          <w:b/>
          <w:bCs/>
          <w:color w:val="434041"/>
          <w:sz w:val="32"/>
          <w:szCs w:val="32"/>
        </w:rPr>
        <w:t>e inclusão socioprodutiva nas regiões produtoras de cacau</w:t>
      </w:r>
    </w:p>
    <w:p w:rsidR="00434B5D" w:rsidRPr="00434B5D" w:rsidRDefault="00434B5D" w:rsidP="00434B5D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Cs/>
          <w:sz w:val="28"/>
          <w:szCs w:val="28"/>
        </w:rPr>
      </w:pPr>
      <w:r w:rsidRPr="00434B5D">
        <w:rPr>
          <w:rFonts w:ascii="KorolevCondensed-Bold" w:hAnsi="KorolevCondensed-Bold" w:cs="KorolevCondensed-Bold"/>
          <w:bCs/>
          <w:sz w:val="28"/>
          <w:szCs w:val="28"/>
        </w:rPr>
        <w:t xml:space="preserve">Órgão </w:t>
      </w:r>
      <w:r w:rsidR="006C4A9C">
        <w:rPr>
          <w:rFonts w:ascii="KorolevCondensed-Bold" w:hAnsi="KorolevCondensed-Bold" w:cs="KorolevCondensed-Bold"/>
          <w:bCs/>
          <w:sz w:val="28"/>
          <w:szCs w:val="28"/>
        </w:rPr>
        <w:t>R</w:t>
      </w:r>
      <w:r w:rsidRPr="00434B5D">
        <w:rPr>
          <w:rFonts w:ascii="KorolevCondensed-Bold" w:hAnsi="KorolevCondensed-Bold" w:cs="KorolevCondensed-Bold"/>
          <w:bCs/>
          <w:sz w:val="28"/>
          <w:szCs w:val="28"/>
        </w:rPr>
        <w:t>esponsável: Ministério da Agricultura, Pecuária e Abastecimento</w:t>
      </w:r>
    </w:p>
    <w:p w:rsidR="00ED3EC4" w:rsidRPr="00C56F69" w:rsidRDefault="00ED3EC4" w:rsidP="00151AF3">
      <w:pPr>
        <w:autoSpaceDE w:val="0"/>
        <w:autoSpaceDN w:val="0"/>
        <w:adjustRightInd w:val="0"/>
        <w:spacing w:after="0" w:line="240" w:lineRule="auto"/>
        <w:rPr>
          <w:rFonts w:ascii="KorolevCondensed-Bold" w:hAnsi="KorolevCondensed-Bold" w:cs="KorolevCondensed-Bold"/>
          <w:b/>
          <w:bCs/>
          <w:color w:val="434041"/>
          <w:sz w:val="16"/>
          <w:szCs w:val="16"/>
        </w:rPr>
      </w:pPr>
    </w:p>
    <w:p w:rsidR="00ED319B" w:rsidRDefault="00151AF3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ED3EC4">
        <w:rPr>
          <w:rFonts w:ascii="Aller-Light" w:hAnsi="Aller-Light" w:cs="Aller-Light"/>
          <w:color w:val="434041"/>
          <w:sz w:val="24"/>
          <w:szCs w:val="24"/>
        </w:rPr>
        <w:t>Por último, destaca-se o objetivo para desenvolver pesquisas integradas à assistência técnica e difusão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tecnológica como instrumentos dinamizadores da competitividade e sustentabilidade agropecuária, e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inclusão socioprodutiva nas regiões produtoras de cacau.</w:t>
      </w:r>
    </w:p>
    <w:p w:rsidR="00ED319B" w:rsidRDefault="00ED319B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ED319B" w:rsidRDefault="00151AF3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ED3EC4">
        <w:rPr>
          <w:rFonts w:ascii="Aller-Light" w:hAnsi="Aller-Light" w:cs="Aller-Light"/>
          <w:color w:val="434041"/>
          <w:sz w:val="24"/>
          <w:szCs w:val="24"/>
        </w:rPr>
        <w:t>No ano de 2016, a grande maioria dos projetos executados de pesquisa contemplaram as demandas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 xml:space="preserve">identificadas nos processos produtivos do cacau, </w:t>
      </w:r>
      <w:r w:rsidRPr="00ED3EC4">
        <w:rPr>
          <w:rFonts w:ascii="Aller-Light" w:hAnsi="Aller-Light" w:cs="Aller-Light"/>
          <w:color w:val="434041"/>
          <w:sz w:val="24"/>
          <w:szCs w:val="24"/>
        </w:rPr>
        <w:lastRenderedPageBreak/>
        <w:t>borracha, dendê, palmiteiros e pastagens utilizadas nos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sistemas de produção de leite e carne. Desses projetos, aproximadamente 90 atenderam às demandas da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cadeia produtiva do cacau, correspondendo a 73,17% dos projetos trabalhados. As pesquisas executadas</w:t>
      </w:r>
      <w:r w:rsidR="00ED319B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se concentraram nas seguintes áreas de conhecimento: melhoramento genético, biotecnologia, biologia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molecular, controle integrado de pragas, fisiologia e nutrição de plantas, fertilidade e conservação de solos,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desenvolvimento de sistemas de produção sustentáveis. Foram priorizados os sistemas agroflorestais, a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melhoria das técnicas de manejo do cacau e outros cultivos tropicais perenes, a melhoria da qualidade de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produtos e o aperfeiçoamento e expansão da agroindústria, além de estudos econômicos sobre mercados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e custo de produção.</w:t>
      </w:r>
    </w:p>
    <w:p w:rsidR="00ED319B" w:rsidRDefault="00ED319B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ED319B" w:rsidRDefault="00151AF3" w:rsidP="006A7BE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ED3EC4">
        <w:rPr>
          <w:rFonts w:ascii="Aller-Light" w:hAnsi="Aller-Light" w:cs="Aller-Light"/>
          <w:color w:val="434041"/>
          <w:sz w:val="24"/>
          <w:szCs w:val="24"/>
        </w:rPr>
        <w:t>As tecnologias disponibilizadas possibilitaram o aperfeiçoamento de modelos sustentáveis de produção,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com o uso de sistemas agroflorestais (SAFs) envolvendo cacau, seringueira e outros cultivos, com ampla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receptividade e adesão dos produtores da agricultura familiar, como também dos médios e grandes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produtores. Os SAFs são, efetivamente, uma alternativa competitiva aos modelos convencionais de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produção, tanto pelas interações biológicas dos sistemas, como pelos resultados mais expressivos obtidos,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sob todos os aspectos da sustentabilidade.</w:t>
      </w:r>
    </w:p>
    <w:p w:rsidR="00ED319B" w:rsidRDefault="00ED319B" w:rsidP="006A7BEF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ED319B" w:rsidRDefault="00151AF3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ED3EC4">
        <w:rPr>
          <w:rFonts w:ascii="Aller-Light" w:hAnsi="Aller-Light" w:cs="Aller-Light"/>
          <w:color w:val="434041"/>
          <w:sz w:val="24"/>
          <w:szCs w:val="24"/>
        </w:rPr>
        <w:t>A nova conjuntura dos bons preços, aliada à execução integrada dos objetivos de PD&amp;I e ATER em parceria</w:t>
      </w:r>
      <w:r w:rsidR="00ED319B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com diversas instituições e entidades, tem gerado reflexos positivos, com mais ênfase para a cadeia do cacau.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Isto tem contribuído para criar um novo ambiente de trabalho e esperança para o agronegócio regional</w:t>
      </w:r>
      <w:r w:rsidR="00ED319B">
        <w:rPr>
          <w:rFonts w:ascii="Aller-Light" w:hAnsi="Aller-Light" w:cs="Aller-Light"/>
          <w:color w:val="434041"/>
          <w:sz w:val="24"/>
          <w:szCs w:val="24"/>
        </w:rPr>
        <w:t xml:space="preserve"> </w:t>
      </w:r>
    </w:p>
    <w:p w:rsidR="00ED319B" w:rsidRDefault="00ED319B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151AF3" w:rsidRPr="00ED3EC4" w:rsidRDefault="00151AF3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ED3EC4">
        <w:rPr>
          <w:rFonts w:ascii="Aller-Light" w:hAnsi="Aller-Light" w:cs="Aller-Light"/>
          <w:color w:val="434041"/>
          <w:sz w:val="24"/>
          <w:szCs w:val="24"/>
        </w:rPr>
        <w:t>O desenvolvimento dessas iniciativas e projetos conjuntamente com as diversas instituições parceiras facilitou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e propiciou o acesso às novas tecnologias, o que proporcionou os seguintes resultados, quando se compara com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o período de menor produção, produtividade e área colhida no início da década de 2000: Um crescimento real,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de 60,66% na produção nacional de cacau, saindo de 170.004 em 2003 para 273.124 toneladas em 2015, e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crescimento da produtividade média cresceu de 278 em 2000, para 403 Kg/ha em 2015. Enquanto isso, a área</w:t>
      </w:r>
    </w:p>
    <w:p w:rsidR="00151AF3" w:rsidRDefault="00151AF3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ED3EC4">
        <w:rPr>
          <w:rFonts w:ascii="Aller-Light" w:hAnsi="Aller-Light" w:cs="Aller-Light"/>
          <w:color w:val="434041"/>
          <w:sz w:val="24"/>
          <w:szCs w:val="24"/>
        </w:rPr>
        <w:t>plantada no mesmo período cresceu de 582.315 ha em 2002, para 676.902 ha em 2015.</w:t>
      </w:r>
    </w:p>
    <w:p w:rsidR="00ED319B" w:rsidRPr="00ED3EC4" w:rsidRDefault="00ED319B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151AF3" w:rsidRDefault="00151AF3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  <w:r w:rsidRPr="00ED3EC4">
        <w:rPr>
          <w:rFonts w:ascii="Aller-Light" w:hAnsi="Aller-Light" w:cs="Aller-Light"/>
          <w:color w:val="434041"/>
          <w:sz w:val="24"/>
          <w:szCs w:val="24"/>
        </w:rPr>
        <w:t>Neste contexto, segundo as previsões do IBGE, em 2016, a produção deverá cair para 214.741 toneladas,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representando uma redução de 21,38%, a produtividade deverá cair para 303,66 kg/ha, representando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uma redução de 24,74%, enquanto a área colhida deverá crescer para 707.169 ha, representando um</w:t>
      </w:r>
      <w:r w:rsidR="006A7BEF">
        <w:rPr>
          <w:rFonts w:ascii="Aller-Light" w:hAnsi="Aller-Light" w:cs="Aller-Light"/>
          <w:color w:val="434041"/>
          <w:sz w:val="24"/>
          <w:szCs w:val="24"/>
        </w:rPr>
        <w:t xml:space="preserve"> </w:t>
      </w:r>
      <w:r w:rsidRPr="00ED3EC4">
        <w:rPr>
          <w:rFonts w:ascii="Aller-Light" w:hAnsi="Aller-Light" w:cs="Aller-Light"/>
          <w:color w:val="434041"/>
          <w:sz w:val="24"/>
          <w:szCs w:val="24"/>
        </w:rPr>
        <w:t>crescimento de 4,47%, quando comparado aos dados de 2015.</w:t>
      </w:r>
    </w:p>
    <w:p w:rsidR="00873F94" w:rsidRDefault="00873F94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24"/>
          <w:szCs w:val="24"/>
        </w:rPr>
      </w:pPr>
    </w:p>
    <w:p w:rsidR="00873F94" w:rsidRPr="004A4A47" w:rsidRDefault="00873F94" w:rsidP="00873F9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C52891">
        <w:rPr>
          <w:rFonts w:ascii="Aller-Light" w:hAnsi="Aller-Light" w:cs="Aller-Light"/>
          <w:b/>
          <w:color w:val="434041"/>
          <w:sz w:val="28"/>
          <w:szCs w:val="28"/>
          <w:highlight w:val="yellow"/>
        </w:rPr>
        <w:t>Nota</w:t>
      </w:r>
      <w:r w:rsidRPr="00C52891">
        <w:rPr>
          <w:rFonts w:ascii="Aller-Light" w:hAnsi="Aller-Light" w:cs="Aller-Light"/>
          <w:color w:val="434041"/>
          <w:sz w:val="28"/>
          <w:szCs w:val="28"/>
          <w:highlight w:val="yellow"/>
        </w:rPr>
        <w:t xml:space="preserve">: </w:t>
      </w:r>
      <w:r>
        <w:rPr>
          <w:rFonts w:ascii="Aller-Light" w:hAnsi="Aller-Light" w:cs="Aller-Light"/>
          <w:color w:val="434041"/>
          <w:sz w:val="28"/>
          <w:szCs w:val="28"/>
          <w:highlight w:val="yellow"/>
        </w:rPr>
        <w:t>O</w:t>
      </w:r>
      <w:r w:rsidRPr="00C52891">
        <w:rPr>
          <w:rFonts w:ascii="Aller-Light" w:hAnsi="Aller-Light" w:cs="Aller-Light"/>
          <w:color w:val="434041"/>
          <w:sz w:val="28"/>
          <w:szCs w:val="28"/>
          <w:highlight w:val="yellow"/>
        </w:rPr>
        <w:t xml:space="preserve"> descritor </w:t>
      </w:r>
      <w:r>
        <w:rPr>
          <w:rFonts w:ascii="Aller-Light" w:hAnsi="Aller-Light" w:cs="Aller-Light"/>
          <w:color w:val="434041"/>
          <w:sz w:val="28"/>
          <w:szCs w:val="28"/>
          <w:highlight w:val="yellow"/>
        </w:rPr>
        <w:t xml:space="preserve">dos objetivos foi </w:t>
      </w:r>
      <w:r w:rsidRPr="00C52891">
        <w:rPr>
          <w:rFonts w:ascii="Aller-Light" w:hAnsi="Aller-Light" w:cs="Aller-Light"/>
          <w:color w:val="434041"/>
          <w:sz w:val="28"/>
          <w:szCs w:val="28"/>
          <w:highlight w:val="yellow"/>
        </w:rPr>
        <w:t>expresso em linguagem cidadã, para melhor compreensão.</w:t>
      </w:r>
    </w:p>
    <w:p w:rsidR="00873F94" w:rsidRPr="00A43EF7" w:rsidRDefault="00873F94" w:rsidP="00873F94">
      <w:pPr>
        <w:tabs>
          <w:tab w:val="left" w:pos="1935"/>
        </w:tabs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16"/>
          <w:szCs w:val="16"/>
        </w:rPr>
      </w:pPr>
      <w:r>
        <w:rPr>
          <w:rFonts w:ascii="Aller-Light" w:hAnsi="Aller-Light" w:cs="Aller-Light"/>
          <w:color w:val="434041"/>
          <w:sz w:val="16"/>
          <w:szCs w:val="16"/>
        </w:rPr>
        <w:tab/>
      </w:r>
    </w:p>
    <w:p w:rsidR="00C56F69" w:rsidRPr="00C56F69" w:rsidRDefault="00C56F69" w:rsidP="00ED3EC4">
      <w:pPr>
        <w:autoSpaceDE w:val="0"/>
        <w:autoSpaceDN w:val="0"/>
        <w:adjustRightInd w:val="0"/>
        <w:spacing w:after="0" w:line="240" w:lineRule="auto"/>
        <w:jc w:val="both"/>
        <w:rPr>
          <w:rFonts w:ascii="Aller-Light" w:hAnsi="Aller-Light" w:cs="Aller-Light"/>
          <w:color w:val="434041"/>
          <w:sz w:val="16"/>
          <w:szCs w:val="16"/>
        </w:rPr>
      </w:pPr>
    </w:p>
    <w:sectPr w:rsidR="00C56F69" w:rsidRPr="00C56F6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B02" w:rsidRDefault="00EB5B02" w:rsidP="00C62EFB">
      <w:pPr>
        <w:spacing w:after="0" w:line="240" w:lineRule="auto"/>
      </w:pPr>
      <w:r>
        <w:separator/>
      </w:r>
    </w:p>
  </w:endnote>
  <w:endnote w:type="continuationSeparator" w:id="0">
    <w:p w:rsidR="00EB5B02" w:rsidRDefault="00EB5B02" w:rsidP="00C6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rolevCondensed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orolevCondens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l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299" w:rsidRDefault="00212299" w:rsidP="00212299">
    <w:pPr>
      <w:pStyle w:val="Rodap"/>
    </w:pPr>
    <w:r w:rsidRPr="009406D3">
      <w:rPr>
        <w:noProof/>
        <w:color w:val="808080" w:themeColor="background1" w:themeShade="80"/>
        <w:sz w:val="16"/>
        <w:szCs w:val="16"/>
        <w:lang w:eastAsia="pt-BR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0012EEFD" wp14:editId="716703B9">
              <wp:simplePos x="0" y="0"/>
              <wp:positionH relativeFrom="margin">
                <wp:align>right</wp:align>
              </wp:positionH>
              <wp:positionV relativeFrom="bottomMargin">
                <wp:posOffset>62138</wp:posOffset>
              </wp:positionV>
              <wp:extent cx="5943600" cy="287383"/>
              <wp:effectExtent l="0" t="0" r="0" b="0"/>
              <wp:wrapSquare wrapText="bothSides"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87383"/>
                        <a:chOff x="0" y="0"/>
                        <a:chExt cx="5962650" cy="185059"/>
                      </a:xfrm>
                    </wpg:grpSpPr>
                    <wps:wsp>
                      <wps:cNvPr id="4" name="Retângulo 4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aixa de Texto 39"/>
                      <wps:cNvSpPr txBox="1"/>
                      <wps:spPr>
                        <a:xfrm>
                          <a:off x="0" y="66676"/>
                          <a:ext cx="5943600" cy="118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2299" w:rsidRPr="009406D3" w:rsidRDefault="00212299" w:rsidP="00212299">
                            <w:pPr>
                              <w:pStyle w:val="Rodap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Fonte:  </w:t>
                            </w:r>
                            <w:r w:rsidRPr="009406D3">
                              <w:rPr>
                                <w:sz w:val="16"/>
                                <w:szCs w:val="16"/>
                              </w:rPr>
                              <w:t>Relatório Anual de Avaliação – ano base 2016 – Ministério do Planejamento Desenvolvimento e Gestão</w:t>
                            </w:r>
                          </w:p>
                          <w:p w:rsidR="00212299" w:rsidRDefault="00212299" w:rsidP="00212299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12EEFD" id="Grupo 3" o:spid="_x0000_s1026" style="position:absolute;margin-left:416.8pt;margin-top:4.9pt;width:468pt;height:22.65pt;z-index:251662336;mso-width-percent:1000;mso-wrap-distance-left:0;mso-wrap-distance-right:0;mso-position-horizontal:right;mso-position-horizontal-relative:margin;mso-position-vertical-relative:bottom-margin-area;mso-width-percent:1000;mso-width-relative:margin;mso-height-relative:margin" coordsize="59626,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">
              <v:rect id="Retângulo 4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+dycUA&#10;AADaAAAADwAAAGRycy9kb3ducmV2LnhtbESPQWvCQBSE70L/w/IKvemmUkRSN6G0VIWgkrSCx9fs&#10;axKafRuyq8Z/7wpCj8PMfMMs0sG04kS9aywreJ5EIIhLqxuuFHx/fY7nIJxH1thaJgUXcpAmD6MF&#10;xtqeOadT4SsRIOxiVFB738VSurImg25iO+Lg/dreoA+yr6Tu8RzgppXTKJpJgw2HhRo7eq+p/CuO&#10;RsFHcVht8+ynyo7TZZ51m91+Nkilnh6Ht1cQngb/H76311rBC9yuhBsgk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53JxQAAANoAAAAPAAAAAAAAAAAAAAAAAJgCAABkcnMv&#10;ZG93bnJldi54bWxQSwUGAAAAAAQABAD1AAAAigMAAAAA&#10;" fillcolor="windowText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28" type="#_x0000_t202" style="position:absolute;top:666;width:59436;height:118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+HsQA&#10;AADaAAAADwAAAGRycy9kb3ducmV2LnhtbESPQWvCQBSE7wX/w/KE3urGlIqkboIIYk9CrR56e2Sf&#10;2Wj2bdjdaNpf3y0Uehxm5htmVY22EzfyoXWsYD7LQBDXTrfcKDh+bJ+WIEJE1tg5JgVfFKAqJw8r&#10;LLS78zvdDrERCcKhQAUmxr6QMtSGLIaZ64mTd3beYkzSN1J7vCe47WSeZQtpseW0YLCnjaH6ehis&#10;An/a5+vN5fM05Dv53Zjj8KwXe6Uep+P6FUSkMf6H/9pvWsEL/F5JN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J/h7EAAAA2gAAAA8AAAAAAAAAAAAAAAAAmAIAAGRycy9k&#10;b3ducmV2LnhtbFBLBQYAAAAABAAEAPUAAACJAwAAAAA=&#10;" filled="f" stroked="f" strokeweight=".5pt">
                <v:textbox inset=",,,0">
                  <w:txbxContent>
                    <w:p w:rsidR="00212299" w:rsidRPr="009406D3" w:rsidRDefault="00212299" w:rsidP="00212299">
                      <w:pPr>
                        <w:pStyle w:val="Rodap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Fonte:  </w:t>
                      </w:r>
                      <w:r w:rsidRPr="009406D3">
                        <w:rPr>
                          <w:sz w:val="16"/>
                          <w:szCs w:val="16"/>
                        </w:rPr>
                        <w:t>Relatório Anual de Avaliação – ano base 2016 – Ministério do Planejamento Desenvolvimento e Gestão</w:t>
                      </w:r>
                    </w:p>
                    <w:p w:rsidR="00212299" w:rsidRDefault="00212299" w:rsidP="00212299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  <w:p w:rsidR="00C62EFB" w:rsidRDefault="00A80CCE">
    <w:pPr>
      <w:pStyle w:val="Rodap"/>
    </w:pPr>
    <w:r w:rsidRPr="00A80CCE">
      <w:rPr>
        <w:noProof/>
        <w:color w:val="5B9BD5" w:themeColor="accent1"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80CCE" w:rsidRDefault="00A80CCE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04232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" fillcolor="black [3213]" stroked="f" strokeweight="3pt">
              <v:textbox>
                <w:txbxContent>
                  <w:p w:rsidR="00A80CCE" w:rsidRDefault="00A80CCE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04232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B02" w:rsidRDefault="00EB5B02" w:rsidP="00C62EFB">
      <w:pPr>
        <w:spacing w:after="0" w:line="240" w:lineRule="auto"/>
      </w:pPr>
      <w:r>
        <w:separator/>
      </w:r>
    </w:p>
  </w:footnote>
  <w:footnote w:type="continuationSeparator" w:id="0">
    <w:p w:rsidR="00EB5B02" w:rsidRDefault="00EB5B02" w:rsidP="00C62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80ABC"/>
    <w:multiLevelType w:val="hybridMultilevel"/>
    <w:tmpl w:val="0CC077D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A3E3EBF"/>
    <w:multiLevelType w:val="hybridMultilevel"/>
    <w:tmpl w:val="2856D6F2"/>
    <w:lvl w:ilvl="0" w:tplc="4D1EE120">
      <w:numFmt w:val="bullet"/>
      <w:lvlText w:val="•"/>
      <w:lvlJc w:val="left"/>
      <w:pPr>
        <w:ind w:left="1068" w:hanging="360"/>
      </w:pPr>
      <w:rPr>
        <w:rFonts w:ascii="Aller-Light" w:eastAsiaTheme="minorHAnsi" w:hAnsi="Aller-Light" w:cs="Aller-Light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F3"/>
    <w:rsid w:val="00077BE0"/>
    <w:rsid w:val="001339C7"/>
    <w:rsid w:val="00151AF3"/>
    <w:rsid w:val="001A2BB8"/>
    <w:rsid w:val="00212299"/>
    <w:rsid w:val="002620F6"/>
    <w:rsid w:val="00285CD1"/>
    <w:rsid w:val="002A3CFB"/>
    <w:rsid w:val="00347B3D"/>
    <w:rsid w:val="00371D66"/>
    <w:rsid w:val="00434B5D"/>
    <w:rsid w:val="004B27CA"/>
    <w:rsid w:val="006011BD"/>
    <w:rsid w:val="00646D48"/>
    <w:rsid w:val="006507AE"/>
    <w:rsid w:val="0067027C"/>
    <w:rsid w:val="00681F99"/>
    <w:rsid w:val="006A7BEF"/>
    <w:rsid w:val="006C4A9C"/>
    <w:rsid w:val="006F0723"/>
    <w:rsid w:val="00704232"/>
    <w:rsid w:val="00710171"/>
    <w:rsid w:val="00790B38"/>
    <w:rsid w:val="007A0666"/>
    <w:rsid w:val="007D2DCA"/>
    <w:rsid w:val="0086560F"/>
    <w:rsid w:val="00873F94"/>
    <w:rsid w:val="00A80CCE"/>
    <w:rsid w:val="00BF111E"/>
    <w:rsid w:val="00C15151"/>
    <w:rsid w:val="00C32388"/>
    <w:rsid w:val="00C47F46"/>
    <w:rsid w:val="00C568E7"/>
    <w:rsid w:val="00C56F69"/>
    <w:rsid w:val="00C62EFB"/>
    <w:rsid w:val="00CA3B0D"/>
    <w:rsid w:val="00CA6674"/>
    <w:rsid w:val="00EB5B02"/>
    <w:rsid w:val="00ED319B"/>
    <w:rsid w:val="00ED3EC4"/>
    <w:rsid w:val="00FC682D"/>
    <w:rsid w:val="00FE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37B12C-3F8D-4796-804C-432E7824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560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62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2EFB"/>
  </w:style>
  <w:style w:type="paragraph" w:styleId="Rodap">
    <w:name w:val="footer"/>
    <w:basedOn w:val="Normal"/>
    <w:link w:val="RodapChar"/>
    <w:uiPriority w:val="99"/>
    <w:unhideWhenUsed/>
    <w:rsid w:val="00C62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2EFB"/>
  </w:style>
  <w:style w:type="paragraph" w:styleId="Textodebalo">
    <w:name w:val="Balloon Text"/>
    <w:basedOn w:val="Normal"/>
    <w:link w:val="TextodebaloChar"/>
    <w:uiPriority w:val="99"/>
    <w:semiHidden/>
    <w:unhideWhenUsed/>
    <w:rsid w:val="00710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0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: Relatório Anual de Avaliação – Ano Base 2016 – Ministério do Planejamento, Desenvolvimento e Gestão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3570</Words>
  <Characters>19280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MAPA</Company>
  <LinksUpToDate>false</LinksUpToDate>
  <CharactersWithSpaces>22805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Antonio Rodrigues Nogueira</dc:creator>
  <cp:keywords/>
  <dc:description/>
  <cp:lastModifiedBy>Ana Maria Cardoso</cp:lastModifiedBy>
  <cp:revision>2</cp:revision>
  <cp:lastPrinted>2017-06-27T16:02:00Z</cp:lastPrinted>
  <dcterms:created xsi:type="dcterms:W3CDTF">2017-07-07T12:54:00Z</dcterms:created>
  <dcterms:modified xsi:type="dcterms:W3CDTF">2017-07-07T12:54:00Z</dcterms:modified>
</cp:coreProperties>
</file>