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222" w:rsidRDefault="00435222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KorolevCondensed-Bold" w:hAnsi="KorolevCondensed-Bold" w:cs="KorolevCondensed-Bold"/>
          <w:b/>
          <w:bCs/>
          <w:color w:val="1C4C69"/>
          <w:sz w:val="40"/>
          <w:szCs w:val="40"/>
          <w:u w:val="single"/>
        </w:rPr>
      </w:pPr>
      <w:bookmarkStart w:id="0" w:name="_GoBack"/>
      <w:bookmarkEnd w:id="0"/>
      <w:r w:rsidRPr="0037523F">
        <w:rPr>
          <w:rFonts w:ascii="KorolevCondensed-Bold" w:hAnsi="KorolevCondensed-Bold" w:cs="KorolevCondensed-Bold"/>
          <w:b/>
          <w:bCs/>
          <w:color w:val="1C4C69"/>
          <w:sz w:val="40"/>
          <w:szCs w:val="40"/>
          <w:u w:val="single"/>
        </w:rPr>
        <w:t>Programa 2028</w:t>
      </w:r>
      <w:r w:rsidR="0037523F" w:rsidRPr="0037523F">
        <w:rPr>
          <w:rFonts w:ascii="KorolevCondensed-Bold" w:hAnsi="KorolevCondensed-Bold" w:cs="KorolevCondensed-Bold"/>
          <w:b/>
          <w:bCs/>
          <w:color w:val="1C4C69"/>
          <w:sz w:val="40"/>
          <w:szCs w:val="40"/>
          <w:u w:val="single"/>
        </w:rPr>
        <w:t xml:space="preserve"> - </w:t>
      </w:r>
      <w:r w:rsidRPr="0037523F">
        <w:rPr>
          <w:rFonts w:ascii="KorolevCondensed-Bold" w:hAnsi="KorolevCondensed-Bold" w:cs="KorolevCondensed-Bold"/>
          <w:b/>
          <w:bCs/>
          <w:color w:val="1C4C69"/>
          <w:sz w:val="40"/>
          <w:szCs w:val="40"/>
          <w:u w:val="single"/>
        </w:rPr>
        <w:t>Defesa Agropecuária</w:t>
      </w:r>
    </w:p>
    <w:p w:rsidR="0037523F" w:rsidRDefault="00A336E2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KorolevCondensed-Bold" w:hAnsi="KorolevCondensed-Bold" w:cs="KorolevCondensed-Bold"/>
          <w:b/>
          <w:bCs/>
          <w:color w:val="1C4C69"/>
          <w:sz w:val="32"/>
          <w:szCs w:val="32"/>
          <w:u w:val="single"/>
        </w:rPr>
      </w:pPr>
      <w:r>
        <w:rPr>
          <w:rFonts w:ascii="KorolevCondensed-Bold" w:hAnsi="KorolevCondensed-Bold" w:cs="KorolevCondensed-Bold"/>
          <w:b/>
          <w:bCs/>
          <w:color w:val="1C4C69"/>
          <w:sz w:val="32"/>
          <w:szCs w:val="32"/>
          <w:u w:val="single"/>
        </w:rPr>
        <w:t>Ano Base – 2016</w:t>
      </w:r>
    </w:p>
    <w:p w:rsidR="00A336E2" w:rsidRDefault="00A336E2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KorolevCondensed-Bold" w:hAnsi="KorolevCondensed-Bold" w:cs="KorolevCondensed-Bold"/>
          <w:b/>
          <w:bCs/>
          <w:color w:val="1C4C69"/>
          <w:sz w:val="32"/>
          <w:szCs w:val="32"/>
          <w:u w:val="single"/>
        </w:rPr>
      </w:pPr>
    </w:p>
    <w:p w:rsidR="005309A2" w:rsidRDefault="005309A2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KorolevCondensed-Bold" w:hAnsi="KorolevCondensed-Bold" w:cs="KorolevCondensed-Bold"/>
          <w:b/>
          <w:bCs/>
          <w:color w:val="1C4C69"/>
          <w:sz w:val="32"/>
          <w:szCs w:val="32"/>
        </w:rPr>
      </w:pPr>
      <w:r w:rsidRPr="005309A2">
        <w:rPr>
          <w:rFonts w:ascii="KorolevCondensed-Bold" w:hAnsi="KorolevCondensed-Bold" w:cs="KorolevCondensed-Bold"/>
          <w:b/>
          <w:bCs/>
          <w:color w:val="1C4C69"/>
          <w:sz w:val="32"/>
          <w:szCs w:val="32"/>
        </w:rPr>
        <w:t xml:space="preserve">Órgão </w:t>
      </w:r>
      <w:r w:rsidR="007D2111">
        <w:rPr>
          <w:rFonts w:ascii="KorolevCondensed-Bold" w:hAnsi="KorolevCondensed-Bold" w:cs="KorolevCondensed-Bold"/>
          <w:b/>
          <w:bCs/>
          <w:color w:val="1C4C69"/>
          <w:sz w:val="32"/>
          <w:szCs w:val="32"/>
        </w:rPr>
        <w:t>R</w:t>
      </w:r>
      <w:r w:rsidRPr="005309A2">
        <w:rPr>
          <w:rFonts w:ascii="KorolevCondensed-Bold" w:hAnsi="KorolevCondensed-Bold" w:cs="KorolevCondensed-Bold"/>
          <w:b/>
          <w:bCs/>
          <w:color w:val="1C4C69"/>
          <w:sz w:val="32"/>
          <w:szCs w:val="32"/>
        </w:rPr>
        <w:t>esponsável: Ministério da Agricu</w:t>
      </w:r>
      <w:r>
        <w:rPr>
          <w:rFonts w:ascii="KorolevCondensed-Bold" w:hAnsi="KorolevCondensed-Bold" w:cs="KorolevCondensed-Bold"/>
          <w:b/>
          <w:bCs/>
          <w:color w:val="1C4C69"/>
          <w:sz w:val="32"/>
          <w:szCs w:val="32"/>
        </w:rPr>
        <w:t>ltura, P</w:t>
      </w:r>
      <w:r w:rsidR="007A6F28">
        <w:rPr>
          <w:rFonts w:ascii="KorolevCondensed-Bold" w:hAnsi="KorolevCondensed-Bold" w:cs="KorolevCondensed-Bold"/>
          <w:b/>
          <w:bCs/>
          <w:color w:val="1C4C69"/>
          <w:sz w:val="32"/>
          <w:szCs w:val="32"/>
        </w:rPr>
        <w:t>ecuária e Abastecimento</w:t>
      </w:r>
      <w:r w:rsidR="00B92FE4">
        <w:rPr>
          <w:rFonts w:ascii="KorolevCondensed-Bold" w:hAnsi="KorolevCondensed-Bold" w:cs="KorolevCondensed-Bold"/>
          <w:b/>
          <w:bCs/>
          <w:color w:val="1C4C69"/>
          <w:sz w:val="32"/>
          <w:szCs w:val="32"/>
        </w:rPr>
        <w:t xml:space="preserve"> –MAPA</w:t>
      </w:r>
    </w:p>
    <w:p w:rsidR="005309A2" w:rsidRPr="005309A2" w:rsidRDefault="005309A2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KorolevCondensed-Bold" w:hAnsi="KorolevCondensed-Bold" w:cs="KorolevCondensed-Bold"/>
          <w:b/>
          <w:bCs/>
          <w:color w:val="1C4C69"/>
          <w:sz w:val="32"/>
          <w:szCs w:val="32"/>
        </w:rPr>
      </w:pPr>
    </w:p>
    <w:p w:rsidR="0037523F" w:rsidRDefault="0037523F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KorolevCondensed-Bold" w:hAnsi="KorolevCondensed-Bold" w:cs="KorolevCondensed-Bold"/>
          <w:b/>
          <w:bCs/>
          <w:color w:val="1C4C69"/>
          <w:sz w:val="32"/>
          <w:szCs w:val="32"/>
        </w:rPr>
      </w:pPr>
      <w:r w:rsidRPr="0037523F">
        <w:rPr>
          <w:rFonts w:ascii="KorolevCondensed-Bold" w:hAnsi="KorolevCondensed-Bold" w:cs="KorolevCondensed-Bold"/>
          <w:b/>
          <w:bCs/>
          <w:color w:val="1C4C69"/>
          <w:sz w:val="32"/>
          <w:szCs w:val="32"/>
        </w:rPr>
        <w:t>Contextualização</w:t>
      </w:r>
    </w:p>
    <w:p w:rsidR="002F0827" w:rsidRPr="007A6F28" w:rsidRDefault="002F0827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KorolevCondensed-Bold" w:hAnsi="KorolevCondensed-Bold" w:cs="KorolevCondensed-Bold"/>
          <w:b/>
          <w:bCs/>
          <w:color w:val="1C4C69"/>
          <w:sz w:val="18"/>
          <w:szCs w:val="18"/>
        </w:rPr>
      </w:pPr>
    </w:p>
    <w:p w:rsidR="00435222" w:rsidRPr="0037523F" w:rsidRDefault="00435222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37523F">
        <w:rPr>
          <w:rFonts w:ascii="Aller-Light" w:hAnsi="Aller-Light" w:cs="Aller-Light"/>
          <w:color w:val="434041"/>
          <w:sz w:val="24"/>
          <w:szCs w:val="24"/>
        </w:rPr>
        <w:t>O Brasil é um dos maiores produtores e fornecedores mundiais de produtos agropecuários, que possuem</w:t>
      </w:r>
      <w:r w:rsidR="0037523F" w:rsidRPr="0037523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um peso significativo na balança comercial de nosso país, mas a competitividade das exportações</w:t>
      </w:r>
      <w:r w:rsidR="0037523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brasileiras desses produtos depende em grande parte da credibilidade da defesa agropecuária brasileira</w:t>
      </w:r>
      <w:r w:rsidR="0037523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junto ao mercado internacional. As questões sanitárias têm sido utilizadas, cada vez mais, como barreiras</w:t>
      </w:r>
      <w:r w:rsidR="0037523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ao comércio internacional. As maiores exigências são aquelas atinentes aos riscos à saúde pública, devido</w:t>
      </w:r>
      <w:r w:rsidR="0037523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à possibilidade de transmissão aos seres humanos de doenças dos animais e da ocorrência de intoxicações</w:t>
      </w:r>
      <w:r w:rsidR="0037523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devido à presença nos alimentos de contaminantes como bactérias e fungos ou de resíduos de antibióticos</w:t>
      </w:r>
      <w:r w:rsidR="0037523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ou agroquímicos além dos limites toleráveis. São também de grande relevância os riscos de introdução</w:t>
      </w:r>
      <w:r w:rsidR="0037523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de zoonoses e pragas, que prejudicam a sanidade e a produtividade dos rebanhos e plantações. O Brasil</w:t>
      </w:r>
      <w:r w:rsidR="0037523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possui um vasto território de 851 milhões de hectares e extensos 15.179 km de fronteiras com dez diferentes</w:t>
      </w:r>
      <w:r w:rsidR="0037523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países, além de grandes diversidades climáticas e de sistemas produtivos. Portanto, o efetivo controle do</w:t>
      </w:r>
    </w:p>
    <w:p w:rsidR="007A6F28" w:rsidRDefault="00435222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37523F">
        <w:rPr>
          <w:rFonts w:ascii="Aller-Light" w:hAnsi="Aller-Light" w:cs="Aller-Light"/>
          <w:color w:val="434041"/>
          <w:sz w:val="24"/>
          <w:szCs w:val="24"/>
        </w:rPr>
        <w:t>trânsito internacional e interestadual de produtos e insumos agropecuários é fundamental para impedir a</w:t>
      </w:r>
      <w:r w:rsidR="0037523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introdução e disseminação de pragas e doenças no território nacional.</w:t>
      </w:r>
    </w:p>
    <w:p w:rsidR="007A6F28" w:rsidRDefault="007A6F28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7A6F28" w:rsidRDefault="00435222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37523F">
        <w:rPr>
          <w:rFonts w:ascii="Aller-Light" w:hAnsi="Aller-Light" w:cs="Aller-Light"/>
          <w:color w:val="434041"/>
          <w:sz w:val="24"/>
          <w:szCs w:val="24"/>
        </w:rPr>
        <w:t>Dessa forma, são postos os grandes desafios da defesa agropecuária brasileira, quais sejam: assegurar</w:t>
      </w:r>
      <w:r w:rsidR="0037523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a sanidade de rebanhos e plantações, a idoneidade dos insumos e serviços utilizados na agropecuária,</w:t>
      </w:r>
      <w:r w:rsidR="0037523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a identidade, a rastreabilidade e a segurança higiênico-sanitária dos alimentos que chegam à mesa do</w:t>
      </w:r>
      <w:r w:rsidR="0037523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consumidor no Brasil e no mundo.</w:t>
      </w:r>
    </w:p>
    <w:p w:rsidR="007A6F28" w:rsidRDefault="007A6F28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7A6F28" w:rsidRDefault="00435222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37523F">
        <w:rPr>
          <w:rFonts w:ascii="Aller-Light" w:hAnsi="Aller-Light" w:cs="Aller-Light"/>
          <w:color w:val="434041"/>
          <w:sz w:val="24"/>
          <w:szCs w:val="24"/>
        </w:rPr>
        <w:t>Com o objetivo de enfrentar tais desafios são conduzidas permanentemente pelo poder público as</w:t>
      </w:r>
      <w:r w:rsidR="007A6F28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ações de defesa agropecuária, como a vigilância do trânsito internacional e interestadual de produtos e</w:t>
      </w:r>
      <w:r w:rsidR="0037523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insumos agropecuários, a inspeção sanitária de produtos de origem animal e vegetal e de fiscalização de</w:t>
      </w:r>
      <w:r w:rsidR="0037523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insumos e serviços utilizados na agropecuária, a adoção de boas práticas e de sistemas de rastreabilidade</w:t>
      </w:r>
      <w:r w:rsidR="0037523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e certificação. Também têm sido fortalecidas as ações de combate e erradicação de pragas e doenças que</w:t>
      </w:r>
      <w:r w:rsidR="0037523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podem afetar a produção agropecuária nacional, por meio do reconhecimento de áreas livres de pragas.</w:t>
      </w:r>
    </w:p>
    <w:p w:rsidR="007A6F28" w:rsidRDefault="007A6F28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435222" w:rsidRDefault="00435222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37523F">
        <w:rPr>
          <w:rFonts w:ascii="Aller-Light" w:hAnsi="Aller-Light" w:cs="Aller-Light"/>
          <w:color w:val="434041"/>
          <w:sz w:val="24"/>
          <w:szCs w:val="24"/>
        </w:rPr>
        <w:t>Visando modernizar e fortalecer a defesa agropecuária brasileira, o programa Defesa Agropecuária do</w:t>
      </w:r>
      <w:r w:rsidR="0037523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PPA 2016-2019 está ancorado nos seguintes objetivos:</w:t>
      </w:r>
      <w:r w:rsidR="007A6F28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Modernizar as ações de Defesa Agropecuária por</w:t>
      </w:r>
      <w:r w:rsidR="0037523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meio do aperfeiçoamento dos mecanismos que asseguram a sanidade dos vegetais, a saúde dos animais,</w:t>
      </w:r>
      <w:r w:rsidR="0037523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 xml:space="preserve">a idoneidade dos insumos e serviços e a conformidade dos produtos </w:t>
      </w:r>
      <w:r w:rsidRPr="0037523F">
        <w:rPr>
          <w:rFonts w:ascii="Aller-Light" w:hAnsi="Aller-Light" w:cs="Aller-Light"/>
          <w:color w:val="434041"/>
          <w:sz w:val="24"/>
          <w:szCs w:val="24"/>
        </w:rPr>
        <w:lastRenderedPageBreak/>
        <w:t>agropecuários; Fortalecer o Sistema</w:t>
      </w:r>
      <w:r w:rsidR="0037523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Unificado de Atenção à Sanidade Agropecuária (Suasa); Modernizar o Sistema de Vigilância Agropecuária</w:t>
      </w:r>
      <w:r w:rsidR="007A6F28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Internacional (Vigiagro).</w:t>
      </w:r>
    </w:p>
    <w:p w:rsidR="0037523F" w:rsidRPr="0037523F" w:rsidRDefault="0037523F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16"/>
          <w:szCs w:val="16"/>
        </w:rPr>
      </w:pPr>
    </w:p>
    <w:p w:rsidR="008726B4" w:rsidRDefault="008726B4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KorolevCondensed-Bold" w:hAnsi="KorolevCondensed-Bold" w:cs="KorolevCondensed-Bold"/>
          <w:b/>
          <w:bCs/>
          <w:color w:val="1C4C69"/>
          <w:sz w:val="32"/>
          <w:szCs w:val="32"/>
        </w:rPr>
      </w:pPr>
    </w:p>
    <w:p w:rsidR="00435222" w:rsidRDefault="00435222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KorolevCondensed-Bold" w:hAnsi="KorolevCondensed-Bold" w:cs="KorolevCondensed-Bold"/>
          <w:b/>
          <w:bCs/>
          <w:color w:val="1C4C69"/>
          <w:sz w:val="32"/>
          <w:szCs w:val="32"/>
        </w:rPr>
      </w:pPr>
      <w:r w:rsidRPr="0037523F">
        <w:rPr>
          <w:rFonts w:ascii="KorolevCondensed-Bold" w:hAnsi="KorolevCondensed-Bold" w:cs="KorolevCondensed-Bold"/>
          <w:b/>
          <w:bCs/>
          <w:color w:val="1C4C69"/>
          <w:sz w:val="32"/>
          <w:szCs w:val="32"/>
        </w:rPr>
        <w:t>Principais Resultados</w:t>
      </w:r>
    </w:p>
    <w:p w:rsidR="00266D95" w:rsidRPr="003165CD" w:rsidRDefault="00F51FEF" w:rsidP="00266D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C19">
        <w:rPr>
          <w:rFonts w:ascii="Arial" w:hAnsi="Arial" w:cs="Arial"/>
          <w:color w:val="434041"/>
          <w:sz w:val="24"/>
          <w:szCs w:val="24"/>
        </w:rPr>
        <w:t xml:space="preserve">O programa de Defesa Agropecuária, no Plano Plurianual (PPA) 2016-2019, contempla 6 Indicadores, 3 objetivos, voltados a fornecer um panorama representativo das políticas </w:t>
      </w:r>
      <w:r w:rsidR="00997023" w:rsidRPr="00C20C19">
        <w:rPr>
          <w:rFonts w:ascii="Arial" w:hAnsi="Arial" w:cs="Arial"/>
          <w:color w:val="434041"/>
          <w:sz w:val="24"/>
          <w:szCs w:val="24"/>
        </w:rPr>
        <w:t>para a</w:t>
      </w:r>
      <w:r w:rsidR="00266D95" w:rsidRPr="00C20C19">
        <w:rPr>
          <w:rFonts w:ascii="Arial" w:hAnsi="Arial" w:cs="Arial"/>
          <w:sz w:val="24"/>
          <w:szCs w:val="24"/>
        </w:rPr>
        <w:t xml:space="preserve"> defesa agropecuária que deve assegurar: i)a sanidade das populações vegetais;  ii) a saúde dos rebanhos animais, iii) a idoneidade dos insumos e dos serviços utilizados na agropecuá</w:t>
      </w:r>
      <w:bookmarkStart w:id="1" w:name="art27aiv"/>
      <w:bookmarkEnd w:id="1"/>
      <w:r w:rsidR="00266D95" w:rsidRPr="00C20C19">
        <w:rPr>
          <w:rFonts w:ascii="Arial" w:hAnsi="Arial" w:cs="Arial"/>
          <w:sz w:val="24"/>
          <w:szCs w:val="24"/>
        </w:rPr>
        <w:t>ria e, iv) a identidade e a segurança higiênico-sanitária e tecnológica dos produtos agropecuários finais destinados aos consumidores.</w:t>
      </w:r>
    </w:p>
    <w:p w:rsidR="0037523F" w:rsidRPr="0037523F" w:rsidRDefault="0037523F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KorolevCondensed-Bold" w:hAnsi="KorolevCondensed-Bold" w:cs="KorolevCondensed-Bold"/>
          <w:b/>
          <w:bCs/>
          <w:color w:val="1C4C69"/>
          <w:sz w:val="16"/>
          <w:szCs w:val="16"/>
        </w:rPr>
      </w:pPr>
    </w:p>
    <w:p w:rsidR="00435222" w:rsidRDefault="00435222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37523F">
        <w:rPr>
          <w:rFonts w:ascii="Aller-Light" w:hAnsi="Aller-Light" w:cs="Aller-Light"/>
          <w:color w:val="434041"/>
          <w:sz w:val="24"/>
          <w:szCs w:val="24"/>
        </w:rPr>
        <w:t>Quanto à evolução dos principais indicadores, o índice de conformidade dos produtos de origem</w:t>
      </w:r>
      <w:r w:rsidR="0037523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vegetal mudou de 81,83% em 2015 para 74,24% em 2016. Já a taxa de conformidade de processos</w:t>
      </w:r>
      <w:r w:rsidR="0037523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produtivos de produtos de origem animal aumentou de 89% em 2015 para 91,7% em 2016 e o índice de</w:t>
      </w:r>
      <w:r w:rsidR="0037523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conformidade de insumos agropecuários apresentou leve decréscimo de 90,17% em 2015 para 89,22%</w:t>
      </w:r>
      <w:r w:rsidR="0037523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em 2016. O índice de conformidade na fiscalização do trânsito internacional de animais e vegetais, de seus</w:t>
      </w:r>
      <w:r w:rsidR="0037523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produtos e de insumos agropecuários aumentou de 97,05% em 2015 para 98,79% em 2016. No âmbito do</w:t>
      </w:r>
      <w:r w:rsidR="0037523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Plano Nacional de Controle de Resíduos e Contaminantes – PNCRC, o índice de conformidade de resíduos e</w:t>
      </w:r>
      <w:r w:rsidR="0037523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contaminantes em produtos de origem animal foi de 59 ocorrências em 10 mil amostras analisadas no ano</w:t>
      </w:r>
      <w:r w:rsidR="0037523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de 2014, o último resultado publicado para este índice, enquanto o índice de conformidade de resíduos e</w:t>
      </w:r>
      <w:r w:rsidR="0037523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contaminantes em produtos de origem vegetal foi de 17,6% em 2015, último resultado disponível.</w:t>
      </w:r>
    </w:p>
    <w:p w:rsidR="0037523F" w:rsidRPr="0037523F" w:rsidRDefault="0037523F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16"/>
          <w:szCs w:val="16"/>
        </w:rPr>
      </w:pPr>
    </w:p>
    <w:p w:rsidR="00435222" w:rsidRDefault="009A75F5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</w:pPr>
      <w:r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  <w:t xml:space="preserve">Cód. 1052 - </w:t>
      </w:r>
      <w:r w:rsidR="00435222" w:rsidRPr="0037523F"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  <w:t>Modernização da Defesa Agropecuária</w:t>
      </w:r>
    </w:p>
    <w:p w:rsidR="00B92FE4" w:rsidRPr="003C6200" w:rsidRDefault="00B92FE4" w:rsidP="003C6200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Cs/>
          <w:sz w:val="28"/>
          <w:szCs w:val="28"/>
        </w:rPr>
      </w:pPr>
      <w:r w:rsidRPr="003C6200">
        <w:rPr>
          <w:rFonts w:ascii="KorolevCondensed-Bold" w:hAnsi="KorolevCondensed-Bold" w:cs="KorolevCondensed-Bold"/>
          <w:bCs/>
          <w:sz w:val="28"/>
          <w:szCs w:val="28"/>
        </w:rPr>
        <w:t>Órgão responsável: Ministério da Agricultura, Pecuária e Abastecimento –MAPA</w:t>
      </w:r>
    </w:p>
    <w:p w:rsidR="00B92FE4" w:rsidRDefault="00B92FE4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</w:pPr>
    </w:p>
    <w:p w:rsidR="0037523F" w:rsidRPr="0037523F" w:rsidRDefault="0037523F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KorolevCondensed-Bold" w:hAnsi="KorolevCondensed-Bold" w:cs="KorolevCondensed-Bold"/>
          <w:b/>
          <w:bCs/>
          <w:color w:val="000000"/>
          <w:sz w:val="16"/>
          <w:szCs w:val="16"/>
        </w:rPr>
      </w:pPr>
    </w:p>
    <w:p w:rsidR="007A6F28" w:rsidRDefault="00435222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37523F">
        <w:rPr>
          <w:rFonts w:ascii="Aller-Light" w:hAnsi="Aller-Light" w:cs="Aller-Light"/>
          <w:color w:val="434041"/>
          <w:sz w:val="24"/>
          <w:szCs w:val="24"/>
        </w:rPr>
        <w:t>Com relação ao objetivo de modernizar as ações de Defesa Agropecuária por meio do aperfeiçoamento</w:t>
      </w:r>
      <w:r w:rsidR="0037523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dos mecanismos que asseguram a sanidade dos vegetais, a saúde dos animais, a idoneidade dos insumos</w:t>
      </w:r>
      <w:r w:rsidR="0037523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e serviços e a conformidade dos produtos agropecuários, o governo federal, por meio do Ministério da</w:t>
      </w:r>
      <w:r w:rsidR="0037523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Agricultura, Pecuária e Abastecimento (MAPA), executou as atividades programadas no Plano Plurianual</w:t>
      </w:r>
      <w:r w:rsidR="0037523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(PPA), tendo conseguido obter a maioria dos resultados planejados para 2016.</w:t>
      </w:r>
    </w:p>
    <w:p w:rsidR="007A6F28" w:rsidRDefault="007A6F28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7A6F28" w:rsidRDefault="00435222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37523F">
        <w:rPr>
          <w:rFonts w:ascii="Aller-Light" w:hAnsi="Aller-Light" w:cs="Aller-Light"/>
          <w:color w:val="434041"/>
          <w:sz w:val="24"/>
          <w:szCs w:val="24"/>
        </w:rPr>
        <w:t>O ano de 2016 deu início à implementação do Plano de Defesa Agropecuária (PDA), com duração prevista de</w:t>
      </w:r>
      <w:r w:rsidR="0037523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cinco anos, sobre o qual é estruturado o Plano Plurianual (PPA) 2016-2019. O PDA 2015-2020 é estruturado</w:t>
      </w:r>
      <w:r w:rsidR="0037523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em seis eixos principais: Modernização e Desburocratização, Marco Regulatório, Conhecimento e Suporte</w:t>
      </w:r>
      <w:r w:rsidR="0037523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Estratégico, Sustentabilidade Institucional e Financeira, programas e Projetos Técnicos e Monitoramento e</w:t>
      </w:r>
      <w:r w:rsidR="0037523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 xml:space="preserve">Avaliação. Entre as prioridades do PDA estão a atualização do marco regulatório de defesa </w:t>
      </w:r>
      <w:r w:rsidRPr="0037523F">
        <w:rPr>
          <w:rFonts w:ascii="Aller-Light" w:hAnsi="Aller-Light" w:cs="Aller-Light"/>
          <w:color w:val="434041"/>
          <w:sz w:val="24"/>
          <w:szCs w:val="24"/>
        </w:rPr>
        <w:lastRenderedPageBreak/>
        <w:t>agropecuária,</w:t>
      </w:r>
      <w:r w:rsidR="0037523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padronizando legislações conflitantes em diferentes instâncias, e a redução do tempo de trâmite dos processos.</w:t>
      </w:r>
    </w:p>
    <w:p w:rsidR="007A6F28" w:rsidRDefault="007A6F28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435222" w:rsidRDefault="00435222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37523F">
        <w:rPr>
          <w:rFonts w:ascii="Aller-Light" w:hAnsi="Aller-Light" w:cs="Aller-Light"/>
          <w:color w:val="434041"/>
          <w:sz w:val="24"/>
          <w:szCs w:val="24"/>
        </w:rPr>
        <w:t>No eixo de programas e Projetos Técnicos foram elencados, dentre outros: programa de Vigilância em</w:t>
      </w:r>
      <w:r w:rsidR="0037523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Defesa Agropecuária na Faixa de Fronteiras; programa Nacional de Erradicação e Prevenção da Febre</w:t>
      </w:r>
      <w:r w:rsidR="0037523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Aftosa; programa de Controle e Erradicação da Brucelose e Tuberculose; programa Nacional de Controle e</w:t>
      </w:r>
      <w:r w:rsidR="0037523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Erradicação da Mosca das Frutas; e programa de Modernização dos Laboratórios Agropecuários.</w:t>
      </w:r>
    </w:p>
    <w:p w:rsidR="007A6F28" w:rsidRPr="0037523F" w:rsidRDefault="007A6F28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435222" w:rsidRDefault="00435222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37523F">
        <w:rPr>
          <w:rFonts w:ascii="Aller-Light" w:hAnsi="Aller-Light" w:cs="Aller-Light"/>
          <w:color w:val="434041"/>
          <w:sz w:val="24"/>
          <w:szCs w:val="24"/>
        </w:rPr>
        <w:t>Foram destinados R$ 27 milhões para convênios com 18 estados, com a finalidade de informatização</w:t>
      </w:r>
      <w:r w:rsidR="0037523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e simplificação de processos. O governo federal está negociando um pedido de linha de crédito de R$</w:t>
      </w:r>
      <w:r w:rsidR="0037523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1,2 bilhão, junto ao Banco Mundial (Bird) ou ao Banco Interamericano de Desenvolvimento (BID), para a</w:t>
      </w:r>
      <w:r w:rsidR="0037523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implementação do PDA.</w:t>
      </w:r>
    </w:p>
    <w:p w:rsidR="007A6F28" w:rsidRPr="0037523F" w:rsidRDefault="007A6F28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7A6F28" w:rsidRDefault="00435222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37523F">
        <w:rPr>
          <w:rFonts w:ascii="Aller-Light" w:hAnsi="Aller-Light" w:cs="Aller-Light"/>
          <w:color w:val="434041"/>
          <w:sz w:val="24"/>
          <w:szCs w:val="24"/>
        </w:rPr>
        <w:t>Nos eixos Marco Regulatório e Modernização e Desburocratização d</w:t>
      </w:r>
      <w:r w:rsidR="0037523F">
        <w:rPr>
          <w:rFonts w:ascii="Aller-Light" w:hAnsi="Aller-Light" w:cs="Aller-Light"/>
          <w:color w:val="434041"/>
          <w:sz w:val="24"/>
          <w:szCs w:val="24"/>
        </w:rPr>
        <w:t xml:space="preserve">o PDA, destaca-se o Plano Agro+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voltado à desburocratização de normas e procedimentos, a fim de tornar mais ágil e eficiente o atendimento</w:t>
      </w:r>
      <w:r w:rsidR="0037523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à cadeia produtiva agropecuária. De um total de 332 demandas apresentadas pelas entidades do setor</w:t>
      </w:r>
      <w:r w:rsidR="0037523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produtivo, 251 foram consideradas procedentes e iniciaram algum tipo de ação relacionada a alteração</w:t>
      </w:r>
      <w:r w:rsidR="00E2203D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normativa ou melhoria de processo de trabalho. Aproximadamente 30% já foram concluídas, 22%</w:t>
      </w:r>
      <w:r w:rsidR="00E2203D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estão em andamento e 9% encontram-se em análise. Como exemplo, pode-se citar a simplificação das</w:t>
      </w:r>
      <w:r w:rsidR="00E2203D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regras de rotulagem de alimentos e certificação sanitária. Também foi abolida a reinspeção nos portos</w:t>
      </w:r>
      <w:r w:rsidR="00E2203D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de carregamentos provenientes do Sistema de Inspeção Federal (SIF). Estimativas do setor indicam que o</w:t>
      </w:r>
      <w:r w:rsidR="00E2203D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Agro+ deve resultar em uma economia de R$ 1 bilhão por ano ao agronegócio brasileiro. Ainda no âmbito</w:t>
      </w:r>
      <w:r w:rsidR="00E2203D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do PDA, encontra-se em revisão o Regulamento de Inspeção Industrial e Sanitária Animal (Riispoa), datado</w:t>
      </w:r>
      <w:r w:rsidR="00E2203D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de 1952, e o Regulamento de Defesa Sanitária Vegetal, que é de 1934.</w:t>
      </w:r>
    </w:p>
    <w:p w:rsidR="00435222" w:rsidRPr="0037523F" w:rsidRDefault="00435222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KorolevCondensed-Medium" w:hAnsi="KorolevCondensed-Medium" w:cs="KorolevCondensed-Medium"/>
          <w:color w:val="FFFFFF"/>
          <w:sz w:val="24"/>
          <w:szCs w:val="24"/>
        </w:rPr>
      </w:pPr>
      <w:r w:rsidRPr="0037523F">
        <w:rPr>
          <w:rFonts w:ascii="KorolevCondensed-Medium" w:hAnsi="KorolevCondensed-Medium" w:cs="KorolevCondensed-Medium"/>
          <w:color w:val="FFFFFF"/>
          <w:sz w:val="24"/>
          <w:szCs w:val="24"/>
        </w:rPr>
        <w:t>9</w:t>
      </w:r>
    </w:p>
    <w:p w:rsidR="007A6F28" w:rsidRDefault="00435222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37523F">
        <w:rPr>
          <w:rFonts w:ascii="Aller-Light" w:hAnsi="Aller-Light" w:cs="Aller-Light"/>
          <w:color w:val="434041"/>
          <w:sz w:val="24"/>
          <w:szCs w:val="24"/>
        </w:rPr>
        <w:t>Encontra-se em implementação o Sistema Eletrônico Integrado de Produtos e Estabelecimentos Agropecuários</w:t>
      </w:r>
      <w:r w:rsidR="00E2203D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– Sipeagro. O Sipeagro permite o registro e o cadastro de estabelecimentos e produtos, o gerenciamento da</w:t>
      </w:r>
      <w:r w:rsidR="00E2203D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inspeção e fiscalização agropecuária, o controle dos procedimentos de produção, importação, exportação,</w:t>
      </w:r>
      <w:r w:rsidR="00E2203D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comercialização e uso, e o gerenciamento dos procedimentos de apuração de infração. Até 2016, foram</w:t>
      </w:r>
      <w:r w:rsidR="00E2203D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disponibilizados aos usuários do Sipeagro os módulos de registro de estabelecimentos e produtos nas</w:t>
      </w:r>
      <w:r w:rsidR="00E2203D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áreas de qualidade vegetal, vinhos e bebidas, fertilizantes, produtos veterinários e agrotóxicos. Para 2017,</w:t>
      </w:r>
      <w:r w:rsidR="00E2203D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existe a previsão de disponibilização das áreas de Alimentação Animal e Material Genético Animal, assim</w:t>
      </w:r>
      <w:r w:rsidR="00E2203D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como do novo Sistema Integrado de Controle de Arrecadação – SICAR, como módulo do SIPEAGRO.</w:t>
      </w:r>
    </w:p>
    <w:p w:rsidR="007A6F28" w:rsidRDefault="007A6F28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7A6F28" w:rsidRDefault="00435222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37523F">
        <w:rPr>
          <w:rFonts w:ascii="Aller-Light" w:hAnsi="Aller-Light" w:cs="Aller-Light"/>
          <w:color w:val="434041"/>
          <w:sz w:val="24"/>
          <w:szCs w:val="24"/>
        </w:rPr>
        <w:t>Quanto ao registro de agrotóxicos, foram concedidos 277 registros de novos produtos em 2016. Desta forma,</w:t>
      </w:r>
      <w:r w:rsidR="00E2203D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a fim de agilizar o processo de registro de novas moléculas, encontra-se em estudo o desenvolvimento</w:t>
      </w:r>
      <w:r w:rsidR="00E2203D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do Sistema Integrado de Agrotóxicos, que permitirá o compartilhamento de dados entre os órgãos</w:t>
      </w:r>
      <w:r w:rsidR="00E2203D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lastRenderedPageBreak/>
        <w:t>intervenientes no processo de avaliação do registro: o MAPA, a Agência Nacional de Vigilância Sanitária</w:t>
      </w:r>
      <w:r w:rsidR="00E2203D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(Anvisa) e o Instituto Brasileiro do Meio Ambiente e dos Recursos Naturais Renováveis (Ibama).</w:t>
      </w:r>
    </w:p>
    <w:p w:rsidR="007A6F28" w:rsidRDefault="007A6F28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7A6F28" w:rsidRDefault="00435222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37523F">
        <w:rPr>
          <w:rFonts w:ascii="Aller-Light" w:hAnsi="Aller-Light" w:cs="Aller-Light"/>
          <w:color w:val="434041"/>
          <w:sz w:val="24"/>
          <w:szCs w:val="24"/>
        </w:rPr>
        <w:t>Em 2016, o MAPA iniciou a reavaliação dos fungicidas registrados para o controle da ferrugem asiática</w:t>
      </w:r>
      <w:r w:rsidR="00E2203D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da soja, uma vez que muitos deles têm mostrado pouco ou nenhum resultado a campo, devido ao</w:t>
      </w:r>
      <w:r w:rsidR="00E2203D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desenvolvimento de resistência do fungo a alguns ingredientes ativos.</w:t>
      </w:r>
    </w:p>
    <w:p w:rsidR="007A6F28" w:rsidRDefault="007A6F28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7A6F28" w:rsidRDefault="00435222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37523F">
        <w:rPr>
          <w:rFonts w:ascii="Aller-Light" w:hAnsi="Aller-Light" w:cs="Aller-Light"/>
          <w:color w:val="434041"/>
          <w:sz w:val="24"/>
          <w:szCs w:val="24"/>
        </w:rPr>
        <w:t>O uso de insumos ilegais nas lavouras compromete a qualidade higiênico-sanitária dos alimentos e</w:t>
      </w:r>
      <w:r w:rsidR="00E2203D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acarreta prejuízos ambientais, além de afetar a credibilidade dos produtos agropecuários brasileiros no</w:t>
      </w:r>
      <w:r w:rsidR="00E2203D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mercado mundial, prejudicando as exportações brasileiras desses produtos. Estima-se que o contrabando</w:t>
      </w:r>
      <w:r w:rsidR="00E2203D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de agrotóxicos chegue a 20% do mercado. A fim de reduzir danos à saúde dos consumidores e ao meio</w:t>
      </w:r>
      <w:r w:rsidR="00E2203D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ambiente, são conduzidas ações de combate ao contrabando de agrotóxicos nas fronteiras. Os delitos de</w:t>
      </w:r>
      <w:r w:rsidR="007A6F28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produção, transporte, compra, venda e utilização de agroquímicos contrabandeados ou falsificados são</w:t>
      </w:r>
      <w:r w:rsidR="00E2203D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considerados crimes de sonegação, contrabando e descaminho e também enquadrados na Lei dos Crimes</w:t>
      </w:r>
      <w:r w:rsidR="00E2203D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Ambientais; e contrabando ou descaminho (art. 334 e 334-A do Código Penal). Em 2016, o Ministério da</w:t>
      </w:r>
      <w:r w:rsidR="00E2203D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Agricultura participou da Operação Ágata 11, que teve como objetivo reprimir crimes transfronteiriços,</w:t>
      </w:r>
      <w:r w:rsidR="00E2203D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dentre os quais o contrabando de agrotóxicos proibidos no país. Da mesma forma, tem sido intensificado o</w:t>
      </w:r>
      <w:r w:rsidR="00E2203D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combate ao contrabando de agrotóxicos por meio de ações de inteligência da Polícia Federal, na chamada</w:t>
      </w:r>
      <w:r w:rsidR="00E2203D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operação “Poison Cachè”, expressão francesa que significa “veneno oculto”.</w:t>
      </w:r>
    </w:p>
    <w:p w:rsidR="007A6F28" w:rsidRDefault="007A6F28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435222" w:rsidRDefault="00435222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37523F">
        <w:rPr>
          <w:rFonts w:ascii="Aller-Light" w:hAnsi="Aller-Light" w:cs="Aller-Light"/>
          <w:color w:val="434041"/>
          <w:sz w:val="24"/>
          <w:szCs w:val="24"/>
        </w:rPr>
        <w:t>Objetivando abrir mercado à exportação brasileira de material genético bovino, foram elaborados e</w:t>
      </w:r>
      <w:r w:rsidR="00E2203D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encaminhados, ao longo do ano, 49 propostas de Certificados Zoossanitários Internacionais a serviços</w:t>
      </w:r>
      <w:r w:rsidR="00E2203D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veterinários estrangeiros. O Brasil é o maior produtor mundial de embrião bovino in vitro, com uma</w:t>
      </w:r>
      <w:r w:rsidR="00E2203D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produção anual em torno de 320 mil unidades, o que representa cerca de 50% do mercado mundial. Em</w:t>
      </w:r>
      <w:r w:rsidR="00E2203D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2016, houve crescimento de 20% na exportação de sêmen bovino, em relação ao ano anterior. O material</w:t>
      </w:r>
      <w:r w:rsidR="00E2203D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foi exportado para 14 países, totalizando, até outubro, US$ 1,28 milhão, tendo como destinos principais</w:t>
      </w:r>
      <w:r w:rsidR="00E2203D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Colômbia, Paraguai, Costa Rica, Equador e Bolívia.</w:t>
      </w:r>
    </w:p>
    <w:p w:rsidR="007A6F28" w:rsidRPr="0037523F" w:rsidRDefault="007A6F28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435222" w:rsidRPr="0037523F" w:rsidRDefault="00435222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37523F">
        <w:rPr>
          <w:rFonts w:ascii="Aller-Light" w:hAnsi="Aller-Light" w:cs="Aller-Light"/>
          <w:color w:val="434041"/>
          <w:sz w:val="24"/>
          <w:szCs w:val="24"/>
        </w:rPr>
        <w:t>A área considerada livre de febre aftosa reconhecida pela Organização Mundial da Saúde Animal (OIE, sigla</w:t>
      </w:r>
      <w:r w:rsidR="00E2203D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em inglês) abrange 77% do território nacional e 99% dos rebanhos, sendo que somente os estados do</w:t>
      </w:r>
      <w:r w:rsidR="00E2203D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Amazonas, Roraima e Amapá ainda não são considerados áreas livres. Foram apresentados planos de ação</w:t>
      </w:r>
    </w:p>
    <w:p w:rsidR="007A6F28" w:rsidRDefault="00435222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37523F">
        <w:rPr>
          <w:rFonts w:ascii="Aller-Light" w:hAnsi="Aller-Light" w:cs="Aller-Light"/>
          <w:color w:val="434041"/>
          <w:sz w:val="24"/>
          <w:szCs w:val="24"/>
        </w:rPr>
        <w:t>para a conquista do status de área livre nesses estados, para que todo o território nacional seja declarado</w:t>
      </w:r>
      <w:r w:rsidR="00E2203D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livre de febre aftosa com vacinação até 2018. Até o momento, somente o estado de Santa Catarina possui o</w:t>
      </w:r>
      <w:r w:rsidR="00E2203D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Italic" w:hAnsi="Aller-LightItalic" w:cs="Aller-LightItalic"/>
          <w:i/>
          <w:iCs/>
          <w:color w:val="434041"/>
          <w:sz w:val="24"/>
          <w:szCs w:val="24"/>
        </w:rPr>
        <w:t xml:space="preserve">status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de área livre sem vacinação, em que o uso da vacina seria indicado apenas em casos de emergência</w:t>
      </w:r>
      <w:r w:rsidR="00E2203D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sanitária. A fim de possibilitar a ampliação da área livre de febre aftosa sem vacinação com segurança,</w:t>
      </w:r>
      <w:r w:rsidR="00E2203D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foi iniciado, pelo Instituto Biológico de São Paulo, o desenvolvimento de uma vacina que apresente uma</w:t>
      </w:r>
      <w:r w:rsidR="00E2203D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resposta imunológica rápida, com objetivo de conter focos em caso de reintrodução do vírus. Espera-se que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 xml:space="preserve">o desenvolvimento da nova vacina seja concluído em dez </w:t>
      </w:r>
      <w:r w:rsidRPr="0037523F">
        <w:rPr>
          <w:rFonts w:ascii="Aller-Light" w:hAnsi="Aller-Light" w:cs="Aller-Light"/>
          <w:color w:val="434041"/>
          <w:sz w:val="24"/>
          <w:szCs w:val="24"/>
        </w:rPr>
        <w:lastRenderedPageBreak/>
        <w:t>anos. Além do Instituto Biológico, a iniciativa tem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a participação do Ministério da Agricultura, Pecuária e Abastecimento, do Instituto Pirbright do Reino Unido,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do Centro Panamericano de Febre Aftosa (Panaftosa), da Agência Paulista de Tecnologia dos Agronegócios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(APTA) e da Universidade de São Paulo (USP).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</w:p>
    <w:p w:rsidR="007A6F28" w:rsidRDefault="007A6F28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435222" w:rsidRPr="0037523F" w:rsidRDefault="00435222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KorolevCondensed-Bold" w:hAnsi="KorolevCondensed-Bold" w:cs="KorolevCondensed-Bold"/>
          <w:color w:val="000000"/>
          <w:sz w:val="24"/>
          <w:szCs w:val="24"/>
        </w:rPr>
      </w:pPr>
      <w:r w:rsidRPr="0037523F">
        <w:rPr>
          <w:rFonts w:ascii="Aller-Light" w:hAnsi="Aller-Light" w:cs="Aller-Light"/>
          <w:color w:val="434041"/>
          <w:sz w:val="24"/>
          <w:szCs w:val="24"/>
        </w:rPr>
        <w:t>Foi publicada a Instrução Normativa 19/2016, que regulamenta o programa Nacional de Controle e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 xml:space="preserve">Erradicação </w:t>
      </w:r>
      <w:r w:rsidR="001B6393">
        <w:rPr>
          <w:rFonts w:ascii="Aller-Light" w:hAnsi="Aller-Light" w:cs="Aller-Light"/>
          <w:color w:val="434041"/>
          <w:sz w:val="24"/>
          <w:szCs w:val="24"/>
        </w:rPr>
        <w:t>d</w:t>
      </w:r>
      <w:r w:rsidRPr="0037523F">
        <w:rPr>
          <w:rFonts w:ascii="KorolevCondensed-Bold" w:hAnsi="KorolevCondensed-Bold" w:cs="KorolevCondensed-Bold"/>
          <w:color w:val="000000"/>
          <w:sz w:val="24"/>
          <w:szCs w:val="24"/>
        </w:rPr>
        <w:t>a Brucelose e Tuberculose (PNCEBT) e classifica as unidades da federação de acordo com o</w:t>
      </w:r>
      <w:r w:rsidR="001B6393">
        <w:rPr>
          <w:rFonts w:ascii="KorolevCondensed-Bold" w:hAnsi="KorolevCondensed-Bold" w:cs="KorolevCondensed-Bold"/>
          <w:color w:val="000000"/>
          <w:sz w:val="24"/>
          <w:szCs w:val="24"/>
        </w:rPr>
        <w:t xml:space="preserve"> </w:t>
      </w:r>
      <w:r w:rsidRPr="0037523F">
        <w:rPr>
          <w:rFonts w:ascii="KorolevCondensed-Bold" w:hAnsi="KorolevCondensed-Bold" w:cs="KorolevCondensed-Bold"/>
          <w:color w:val="000000"/>
          <w:sz w:val="24"/>
          <w:szCs w:val="24"/>
        </w:rPr>
        <w:t>grau de risco para essas doenças, assim como define procedimentos de defesa sanitária animal a serem</w:t>
      </w:r>
    </w:p>
    <w:p w:rsidR="00435222" w:rsidRDefault="00435222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KorolevCondensed-Bold" w:hAnsi="KorolevCondensed-Bold" w:cs="KorolevCondensed-Bold"/>
          <w:color w:val="000000"/>
          <w:sz w:val="24"/>
          <w:szCs w:val="24"/>
        </w:rPr>
      </w:pPr>
      <w:r w:rsidRPr="0037523F">
        <w:rPr>
          <w:rFonts w:ascii="KorolevCondensed-Bold" w:hAnsi="KorolevCondensed-Bold" w:cs="KorolevCondensed-Bold"/>
          <w:color w:val="000000"/>
          <w:sz w:val="24"/>
          <w:szCs w:val="24"/>
        </w:rPr>
        <w:t>adotados conforme a classificação.</w:t>
      </w:r>
    </w:p>
    <w:p w:rsidR="007A6F28" w:rsidRPr="0037523F" w:rsidRDefault="007A6F28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KorolevCondensed-Bold" w:hAnsi="KorolevCondensed-Bold" w:cs="KorolevCondensed-Bold"/>
          <w:color w:val="000000"/>
          <w:sz w:val="24"/>
          <w:szCs w:val="24"/>
        </w:rPr>
      </w:pPr>
    </w:p>
    <w:p w:rsidR="007A6F28" w:rsidRDefault="00435222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37523F">
        <w:rPr>
          <w:rFonts w:ascii="KorolevCondensed-Bold" w:hAnsi="KorolevCondensed-Bold" w:cs="KorolevCondensed-Bold"/>
          <w:color w:val="000000"/>
          <w:sz w:val="24"/>
          <w:szCs w:val="24"/>
        </w:rPr>
        <w:t>Estão ocorrendo surtos de Influenza Aviária em diversos lugares do mundo. Por ser livre da doença, o</w:t>
      </w:r>
      <w:r w:rsidR="001B6393">
        <w:rPr>
          <w:rFonts w:ascii="KorolevCondensed-Bold" w:hAnsi="KorolevCondensed-Bold" w:cs="KorolevCondensed-Bold"/>
          <w:color w:val="000000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Brasil precisa redobrar seus esforços para proteger a sanidade de seus plantéis de aves, principalmente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devido ao risco de introdução da doença pelas aves migratórias. Foi emitido, em dezembro de 2016, alerta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sanitário por tempo indeterminado para intensificar as ações de prevenção à entrada da gripe aviária no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país. Os procedimentos de vigilância epidemiológica e de biossegurança para o acesso às granjas ficarão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ainda mais rigorosos e será intensificado o treinamento das equipes de veterinários. Foram adquiridos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materiais e equipamentos para situações de emergência e revisados os planos de contenção da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doença. O território brasileiro possui 20 sítios de monitoramento de entrada das aves migratórias, com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vigilância para a influenza aviária e a Doença de Newscastle (DNC) em aves migratórias e silvestres e aves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domésticas em um raio de 10 km desses locais. Além disso, foi dada continuidade à certificação sanitária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por compartimentação na cadeia produtiva avícola, que visa reconhecer o status sanitário diferenciado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quanto à influenza aviária e DNC de uma subpopulação de aves (compartimento), por meio da adoção de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procedimentos de biossegurança e vigilância epidemiológica.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</w:p>
    <w:p w:rsidR="007A6F28" w:rsidRDefault="007A6F28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7A6F28" w:rsidRDefault="00435222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37523F">
        <w:rPr>
          <w:rFonts w:ascii="Aller-Light" w:hAnsi="Aller-Light" w:cs="Aller-Light"/>
          <w:color w:val="434041"/>
          <w:sz w:val="24"/>
          <w:szCs w:val="24"/>
        </w:rPr>
        <w:t>Sobre a peste suína clássica, em 2016, mais 13 estados e o Distrito Federal foram declarados livres da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doença pela OIE. Considerando os estados do Rio Grande do Sul e de Santa Catarina, que já possuíam o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status de áreas livres, a área livre da doença abrange mais de 90% do rebanho nacional, o que facilita a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abertura do mercado internacional para a carne suína brasileira.</w:t>
      </w:r>
    </w:p>
    <w:p w:rsidR="007A6F28" w:rsidRDefault="007A6F28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435222" w:rsidRDefault="001B6393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="00435222" w:rsidRPr="0037523F">
        <w:rPr>
          <w:rFonts w:ascii="Aller-Light" w:hAnsi="Aller-Light" w:cs="Aller-Light"/>
          <w:color w:val="434041"/>
          <w:sz w:val="24"/>
          <w:szCs w:val="24"/>
        </w:rPr>
        <w:t>Quanto ao cancro cítrico, foi publicada a Instrução Normativa 37/2016, que institui novos critérios e</w:t>
      </w:r>
      <w:r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="00435222" w:rsidRPr="0037523F">
        <w:rPr>
          <w:rFonts w:ascii="Aller-Light" w:hAnsi="Aller-Light" w:cs="Aller-Light"/>
          <w:color w:val="434041"/>
          <w:sz w:val="24"/>
          <w:szCs w:val="24"/>
        </w:rPr>
        <w:t>procedimentos para o estabelecimento e manutenção do status fitossanitário relativo a essa praga. A</w:t>
      </w:r>
      <w:r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="00435222" w:rsidRPr="0037523F">
        <w:rPr>
          <w:rFonts w:ascii="Aller-Light" w:hAnsi="Aller-Light" w:cs="Aller-Light"/>
          <w:color w:val="434041"/>
          <w:sz w:val="24"/>
          <w:szCs w:val="24"/>
        </w:rPr>
        <w:t>norma estabelece quatro cenários: Área com Praga Ausente, Área Livre da Praga (ALP), Área sob Erradicação</w:t>
      </w:r>
      <w:r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="00435222" w:rsidRPr="0037523F">
        <w:rPr>
          <w:rFonts w:ascii="Aller-Light" w:hAnsi="Aller-Light" w:cs="Aller-Light"/>
          <w:color w:val="434041"/>
          <w:sz w:val="24"/>
          <w:szCs w:val="24"/>
        </w:rPr>
        <w:t>ou Supressão e Área sob Sistema de Mitigação de Risco (SMR). A norma abre a possibilidade de que estados</w:t>
      </w:r>
      <w:r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="00435222" w:rsidRPr="0037523F">
        <w:rPr>
          <w:rFonts w:ascii="Aller-Light" w:hAnsi="Aller-Light" w:cs="Aller-Light"/>
          <w:color w:val="434041"/>
          <w:sz w:val="24"/>
          <w:szCs w:val="24"/>
        </w:rPr>
        <w:t>com a incidência de cancro cítrico, como São Paulo e Paraná, adotem um sistema integrado de medidas</w:t>
      </w:r>
      <w:r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="00435222" w:rsidRPr="0037523F">
        <w:rPr>
          <w:rFonts w:ascii="Aller-Light" w:hAnsi="Aller-Light" w:cs="Aller-Light"/>
          <w:color w:val="434041"/>
          <w:sz w:val="24"/>
          <w:szCs w:val="24"/>
        </w:rPr>
        <w:t>fitossanitárias para manejo do risco associado à praga nos produtos comercializados, incluindo novas</w:t>
      </w:r>
      <w:r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="00435222" w:rsidRPr="0037523F">
        <w:rPr>
          <w:rFonts w:ascii="Aller-Light" w:hAnsi="Aller-Light" w:cs="Aller-Light"/>
          <w:color w:val="434041"/>
          <w:sz w:val="24"/>
          <w:szCs w:val="24"/>
        </w:rPr>
        <w:t>estratégias de controle, que não exclusivamente a erradicação das plantas infectadas, tais como a aplicação</w:t>
      </w:r>
      <w:r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="00435222" w:rsidRPr="0037523F">
        <w:rPr>
          <w:rFonts w:ascii="Aller-Light" w:hAnsi="Aller-Light" w:cs="Aller-Light"/>
          <w:color w:val="434041"/>
          <w:sz w:val="24"/>
          <w:szCs w:val="24"/>
        </w:rPr>
        <w:t>de medidas de manejo integrado da praga minador dos citros, a inspeção e tratamento higienizante dos</w:t>
      </w:r>
      <w:r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="00435222" w:rsidRPr="0037523F">
        <w:rPr>
          <w:rFonts w:ascii="Aller-Light" w:hAnsi="Aller-Light" w:cs="Aller-Light"/>
          <w:color w:val="434041"/>
          <w:sz w:val="24"/>
          <w:szCs w:val="24"/>
        </w:rPr>
        <w:t>frutos, embalagens e veículos e a destruição dos frutos e restos vegetais infectados, além do uso de</w:t>
      </w:r>
      <w:r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="00435222" w:rsidRPr="0037523F">
        <w:rPr>
          <w:rFonts w:ascii="Aller-Light" w:hAnsi="Aller-Light" w:cs="Aller-Light"/>
          <w:color w:val="434041"/>
          <w:sz w:val="24"/>
          <w:szCs w:val="24"/>
        </w:rPr>
        <w:t>cultivares mais resistentes à bactéria. O estabelecimento do SMR tem como principais objetivos reduzir</w:t>
      </w:r>
      <w:r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="00435222" w:rsidRPr="0037523F">
        <w:rPr>
          <w:rFonts w:ascii="Aller-Light" w:hAnsi="Aller-Light" w:cs="Aller-Light"/>
          <w:color w:val="434041"/>
          <w:sz w:val="24"/>
          <w:szCs w:val="24"/>
        </w:rPr>
        <w:t xml:space="preserve">o potencial de inóculo, visando à proteção de áreas </w:t>
      </w:r>
      <w:r w:rsidR="00435222" w:rsidRPr="0037523F">
        <w:rPr>
          <w:rFonts w:ascii="Aller-Light" w:hAnsi="Aller-Light" w:cs="Aller-Light"/>
          <w:color w:val="434041"/>
          <w:sz w:val="24"/>
          <w:szCs w:val="24"/>
        </w:rPr>
        <w:lastRenderedPageBreak/>
        <w:t>ainda sem a ocorrência da praga, permitir o trânsito</w:t>
      </w:r>
      <w:r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="00435222" w:rsidRPr="0037523F">
        <w:rPr>
          <w:rFonts w:ascii="Aller-Light" w:hAnsi="Aller-Light" w:cs="Aller-Light"/>
          <w:color w:val="434041"/>
          <w:sz w:val="24"/>
          <w:szCs w:val="24"/>
        </w:rPr>
        <w:t>para outras unidades da federação de frutos cítricos oriundos de áreas de ocorrência do cancro cítrico e</w:t>
      </w:r>
      <w:r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="00435222" w:rsidRPr="0037523F">
        <w:rPr>
          <w:rFonts w:ascii="Aller-Light" w:hAnsi="Aller-Light" w:cs="Aller-Light"/>
          <w:color w:val="434041"/>
          <w:sz w:val="24"/>
          <w:szCs w:val="24"/>
        </w:rPr>
        <w:t>permitir a exportação de frutos cítricos oriundos de áreas de ocorrência para países que reconheçam o SMR</w:t>
      </w:r>
      <w:r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="00435222" w:rsidRPr="0037523F">
        <w:rPr>
          <w:rFonts w:ascii="Aller-Light" w:hAnsi="Aller-Light" w:cs="Aller-Light"/>
          <w:color w:val="434041"/>
          <w:sz w:val="24"/>
          <w:szCs w:val="24"/>
        </w:rPr>
        <w:t>como medida fitossanitária, desde que atestada no certificado fitossanitário de origem (CFO). O CFO só será</w:t>
      </w:r>
      <w:r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="00435222" w:rsidRPr="0037523F">
        <w:rPr>
          <w:rFonts w:ascii="Aller-Light" w:hAnsi="Aller-Light" w:cs="Aller-Light"/>
          <w:color w:val="434041"/>
          <w:sz w:val="24"/>
          <w:szCs w:val="24"/>
        </w:rPr>
        <w:t>emitido e a colheita autorizada pela organização estadual de defesa sanitária estadual (OEDSV) para os</w:t>
      </w:r>
      <w:r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="00435222" w:rsidRPr="0037523F">
        <w:rPr>
          <w:rFonts w:ascii="Aller-Light" w:hAnsi="Aller-Light" w:cs="Aller-Light"/>
          <w:color w:val="434041"/>
          <w:sz w:val="24"/>
          <w:szCs w:val="24"/>
        </w:rPr>
        <w:t>talhões que apresentem no máximo 1% de frutos sintomáticos.</w:t>
      </w:r>
    </w:p>
    <w:p w:rsidR="007A6F28" w:rsidRPr="0037523F" w:rsidRDefault="007A6F28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435222" w:rsidRDefault="00435222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37523F">
        <w:rPr>
          <w:rFonts w:ascii="Aller-Light" w:hAnsi="Aller-Light" w:cs="Aller-Light"/>
          <w:color w:val="434041"/>
          <w:sz w:val="24"/>
          <w:szCs w:val="24"/>
        </w:rPr>
        <w:t xml:space="preserve">A </w:t>
      </w:r>
      <w:r w:rsidRPr="0037523F">
        <w:rPr>
          <w:rFonts w:ascii="Aller-LightItalic" w:hAnsi="Aller-LightItalic" w:cs="Aller-LightItalic"/>
          <w:i/>
          <w:iCs/>
          <w:color w:val="434041"/>
          <w:sz w:val="24"/>
          <w:szCs w:val="24"/>
        </w:rPr>
        <w:t>Bractocera carambolae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, ou mosca da carambola, é uma praga de grande relevância para a fruticultura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nacional, podendo prejudicar as exportações brasileiras. Atualmente, 21 municípios apresentam incidência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da praga nos estados do Pará, Amapá e Roraima. São desenvolvidas ações de supressão e contenção da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praga nesses estados, impedindo sua dispersão para outras partes do território nacional. A erradicação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nas regiões transfronteiriças dos três estados é tecnicamente inviável sem que haja ações conjuntas na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fronteira com a Guiana, Guiana Francesa e Suriname. Em 2016, o governo federal destinou R$ 2,68 milhões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para combate às moscas das frutas nos estados de Pernambuco, Amapá, Roraima e Bahia.</w:t>
      </w:r>
    </w:p>
    <w:p w:rsidR="001B6393" w:rsidRPr="0037523F" w:rsidRDefault="001B6393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435222" w:rsidRDefault="009A75F5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</w:pPr>
      <w:r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  <w:t xml:space="preserve">Cód. 0366 - </w:t>
      </w:r>
      <w:r w:rsidR="00435222" w:rsidRPr="0037523F"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  <w:t>Sistema Unificado de Atenção à Sanidade Agropecuária (Suasa )</w:t>
      </w:r>
    </w:p>
    <w:p w:rsidR="00B92FE4" w:rsidRPr="003C6200" w:rsidRDefault="00B92FE4" w:rsidP="003C6200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Cs/>
          <w:sz w:val="28"/>
          <w:szCs w:val="28"/>
        </w:rPr>
      </w:pPr>
      <w:r w:rsidRPr="003C6200">
        <w:rPr>
          <w:rFonts w:ascii="KorolevCondensed-Bold" w:hAnsi="KorolevCondensed-Bold" w:cs="KorolevCondensed-Bold"/>
          <w:bCs/>
          <w:sz w:val="28"/>
          <w:szCs w:val="28"/>
        </w:rPr>
        <w:t>Órgão responsável: Ministério da Agricultura, Pecuária e Abastecimento –MAPA</w:t>
      </w:r>
    </w:p>
    <w:p w:rsidR="001B6393" w:rsidRPr="0037523F" w:rsidRDefault="001B6393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</w:pPr>
    </w:p>
    <w:p w:rsidR="00283364" w:rsidRDefault="00435222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283364">
        <w:rPr>
          <w:rFonts w:ascii="Aller-Light" w:hAnsi="Aller-Light" w:cs="Aller-Light"/>
          <w:color w:val="434041"/>
          <w:sz w:val="24"/>
          <w:szCs w:val="24"/>
        </w:rPr>
        <w:t>Para o objetivo que trata de fortalecer o Sistema Unificado de Atenção à Sanidade Agropecuária, foram</w:t>
      </w:r>
      <w:r w:rsidR="001B6393" w:rsidRPr="00283364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283364">
        <w:rPr>
          <w:rFonts w:ascii="Aller-Light" w:hAnsi="Aller-Light" w:cs="Aller-Light"/>
          <w:color w:val="434041"/>
          <w:sz w:val="24"/>
          <w:szCs w:val="24"/>
        </w:rPr>
        <w:t>estabelecidas, para o quadriênio 2016-2019, metas e iniciativas que, em seu conjunto, permitirão o</w:t>
      </w:r>
      <w:r w:rsidR="001B6393" w:rsidRPr="00283364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283364">
        <w:rPr>
          <w:rFonts w:ascii="Aller-Light" w:hAnsi="Aller-Light" w:cs="Aller-Light"/>
          <w:color w:val="434041"/>
          <w:sz w:val="24"/>
          <w:szCs w:val="24"/>
        </w:rPr>
        <w:t>realinhamento do Sistema, objetivando seu reconhecimento como um sistema de excelência na certificação</w:t>
      </w:r>
      <w:r w:rsidR="001B6393" w:rsidRPr="00283364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283364">
        <w:rPr>
          <w:rFonts w:ascii="Aller-Light" w:hAnsi="Aller-Light" w:cs="Aller-Light"/>
          <w:color w:val="434041"/>
          <w:sz w:val="24"/>
          <w:szCs w:val="24"/>
        </w:rPr>
        <w:t>e na garantia da qualidade dos produtos agropecuários, estabelecendo uma estrutura ágil, eficiente,</w:t>
      </w:r>
      <w:r w:rsidR="001B6393" w:rsidRPr="00283364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283364">
        <w:rPr>
          <w:rFonts w:ascii="Aller-Light" w:hAnsi="Aller-Light" w:cs="Aller-Light"/>
          <w:color w:val="434041"/>
          <w:sz w:val="24"/>
          <w:szCs w:val="24"/>
        </w:rPr>
        <w:t>transparente e permeável, que atue de forma participativa, integrada e</w:t>
      </w:r>
      <w:r w:rsidRPr="0037523F">
        <w:rPr>
          <w:rFonts w:ascii="Aller-Light" w:hAnsi="Aller-Light" w:cs="Aller-Light"/>
          <w:color w:val="434041"/>
          <w:sz w:val="24"/>
          <w:szCs w:val="24"/>
        </w:rPr>
        <w:t xml:space="preserve"> corresponsável.</w:t>
      </w:r>
    </w:p>
    <w:p w:rsidR="00283364" w:rsidRDefault="00283364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283364" w:rsidRDefault="00435222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37523F">
        <w:rPr>
          <w:rFonts w:ascii="Aller-Light" w:hAnsi="Aller-Light" w:cs="Aller-Light"/>
          <w:color w:val="434041"/>
          <w:sz w:val="24"/>
          <w:szCs w:val="24"/>
        </w:rPr>
        <w:t>O Sistema Unificado de Atenção à Sanidade Agropecuária visa à integração e à modernização dos serviços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nacionais, estaduais e municipais de defesa agropecuária em um sistema unificado, como forma de ampliar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o alcance, a abrangência e a efetividade de suas ações em todo o território nacional. O Suasa é articulado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em três sistemas de inspeção: Sistema Brasileiro de Inspeção de Produtos de Origem Animal (SISBI – POA),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Sistema Brasileiro de Inspeção de Produtos de Origem Vegetal (SISBI – POV) e Sistemas Brasileiros de Inspeção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e Fiscalização de Insumos Agropecuários (SISBI – Insumos). A adesão dos estados e municípios ao Suasa e aos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seus sistemas de inspeção (SISBI) ocorre de forma voluntária, e implica no atendimento dos requisitos para o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reconhecimento da equivalência dos serviços de inspeção estaduais ou municipais ao Sistema de Inspeção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Federal (SIF). Com o reconhecimento da equivalência, os produtos inspecionados pelos serviços de inspeção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estaduais ou municipais poderão ser comercializados em todo o território nacional sem a necessidade de os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 xml:space="preserve">produtos passarem pela inspeção federal. Isso irá facilitar o </w:t>
      </w:r>
      <w:r w:rsidRPr="0037523F">
        <w:rPr>
          <w:rFonts w:ascii="Aller-Light" w:hAnsi="Aller-Light" w:cs="Aller-Light"/>
          <w:color w:val="434041"/>
          <w:sz w:val="24"/>
          <w:szCs w:val="24"/>
        </w:rPr>
        <w:lastRenderedPageBreak/>
        <w:t>comércio interestadual de produtos de origem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animal, ao possibilitar o acesso de produtores de qualquer parte do país a todo o mercado nacional.</w:t>
      </w:r>
    </w:p>
    <w:p w:rsidR="00283364" w:rsidRDefault="00283364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283364" w:rsidRDefault="00435222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37523F">
        <w:rPr>
          <w:rFonts w:ascii="Aller-Light" w:hAnsi="Aller-Light" w:cs="Aller-Light"/>
          <w:color w:val="434041"/>
          <w:sz w:val="24"/>
          <w:szCs w:val="24"/>
        </w:rPr>
        <w:t>A atual situação econômica dos estados tem impedido uma maior celeridade da implantação do Suasa.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A fim de superar este entrave, foi publicado o Decreto 8.613 de 21/12/2015, que viabiliza os repasses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de recursos federais para as ações de fiscalização e inspeção de alimentos ou insumos que integrem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sua cadeia produtiva mesmo aos estados impedidos de receber transferências voluntárias por estarem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inadimplentes com o governo federal.</w:t>
      </w:r>
    </w:p>
    <w:p w:rsidR="00283364" w:rsidRDefault="00283364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283364" w:rsidRDefault="00435222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37523F">
        <w:rPr>
          <w:rFonts w:ascii="Aller-Light" w:hAnsi="Aller-Light" w:cs="Aller-Light"/>
          <w:color w:val="434041"/>
          <w:sz w:val="24"/>
          <w:szCs w:val="24"/>
        </w:rPr>
        <w:t>Quanto à implementação do Suasa nos estados, destaca-se em 2016 a conclusão do processo no Mato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Grosso do Sul. Com isso, oito estados e o Distrito Federal obtiveram o reconhecimento da equivalência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de seus sistemas de inspeção de Produtos de Origem Animal com o Sistema de Inspeção Federal e, assim,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concluíram o processo de adesão ao SISBI-POA/ Suasa. São eles: BA, PR, MG, RS, SC, ES, GO e MS, além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do DF. Também aderiram ao SISBI/POA 12 municípios e três consórcios intermunicipais, além de 150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estabelecimentos produtivos.</w:t>
      </w:r>
    </w:p>
    <w:p w:rsidR="00283364" w:rsidRDefault="00283364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1B6393" w:rsidRDefault="00435222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37523F">
        <w:rPr>
          <w:rFonts w:ascii="Aller-Light" w:hAnsi="Aller-Light" w:cs="Aller-Light"/>
          <w:color w:val="434041"/>
          <w:sz w:val="24"/>
          <w:szCs w:val="24"/>
        </w:rPr>
        <w:t xml:space="preserve">Quanto à Implementação do Sistema Nacional de Emergências Zoosanitárias e Fitossanitárias, 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destacasse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a instituição da Força Nacional do Sistema Unificado de Atenção à Sanidade Agropecuária (FN-Suasa),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pelo Decreto Nº 8.762/2016. A FN-Suasa deverá ser convocada pelo Ministro de Estado da Agricultura,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Pecuária e Abastecimento em caso de emergência fitossanitária ou zoossanitária ou de comprovada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necessidade técnica. A FN-Suasa, a qual poderão aderir voluntariamente os estados e os municípios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interessados, executará medidas de prevenção, de vigilância, de assistência e de controle de situações de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risco epidemiológico e de desastres fitossanitários e zoossanitários que afetam as lavouras e os rebanhos.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A FN-Suasa poderá integrar ações internacionais coordenadas, relacionadas a emergências fitossanitárias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ou zoossanitárias, quando solicitad</w:t>
      </w:r>
      <w:r w:rsidR="001B6393">
        <w:rPr>
          <w:rFonts w:ascii="Aller-Light" w:hAnsi="Aller-Light" w:cs="Aller-Light"/>
          <w:color w:val="434041"/>
          <w:sz w:val="24"/>
          <w:szCs w:val="24"/>
        </w:rPr>
        <w:t>o</w:t>
      </w:r>
      <w:r w:rsidR="00283364">
        <w:rPr>
          <w:rFonts w:ascii="Aller-Light" w:hAnsi="Aller-Light" w:cs="Aller-Light"/>
          <w:color w:val="434041"/>
          <w:sz w:val="24"/>
          <w:szCs w:val="24"/>
        </w:rPr>
        <w:t xml:space="preserve"> pela Presidência da República.</w:t>
      </w:r>
    </w:p>
    <w:p w:rsidR="00283364" w:rsidRDefault="00283364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435222" w:rsidRDefault="00435222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37523F">
        <w:rPr>
          <w:rFonts w:ascii="Aller-Light" w:hAnsi="Aller-Light" w:cs="Aller-Light"/>
          <w:color w:val="434041"/>
          <w:sz w:val="24"/>
          <w:szCs w:val="24"/>
        </w:rPr>
        <w:t>A Plataforma de Gestão Agropecuária (PGA</w:t>
      </w:r>
      <w:r w:rsidRPr="0037523F">
        <w:rPr>
          <w:rFonts w:ascii="Aller-Bold" w:hAnsi="Aller-Bold" w:cs="Aller-Bold"/>
          <w:b/>
          <w:bCs/>
          <w:color w:val="434041"/>
          <w:sz w:val="24"/>
          <w:szCs w:val="24"/>
        </w:rPr>
        <w:t xml:space="preserve">)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é um sistema informatizado que disponibiliza módulos de gestão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de informações de interesse da defesa agropecuária e do agronegócio brasileiro em uma base de dados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única. A PGA possibilita o acesso direto de produtores rurais, técnicos e demais estabelecimentos a produtos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e serviços, permitindo o registro e cadastro de produtores e estabelecimentos. No ano de 2016, foram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implementadas as funcionalidades (módulos): Banco de Dados Único – Área Animal, Registro de Produtos do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Sistema de Informações Gerenciais do Sistema de inspeção Federal – SIGSIF e Guia de Trânsito Animal – GTA.</w:t>
      </w:r>
      <w:r w:rsidR="00283364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Para 2017, prevê-se a implantação de mais 11 funcionalidades da PGA relacionadas à complementação do</w:t>
      </w:r>
      <w:r w:rsidR="001B6393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SIGSIF, Guia de Trânsito Animal, Guia de Trânsito Vegetal e Sistema de Rastreabilidade Bovina – SISBOV.</w:t>
      </w:r>
    </w:p>
    <w:p w:rsidR="001B6393" w:rsidRPr="001B6393" w:rsidRDefault="001B6393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16"/>
          <w:szCs w:val="16"/>
        </w:rPr>
      </w:pPr>
    </w:p>
    <w:p w:rsidR="00435222" w:rsidRDefault="009A75F5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</w:pPr>
      <w:r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  <w:t xml:space="preserve">Cód. 1053 - </w:t>
      </w:r>
      <w:r w:rsidR="00435222" w:rsidRPr="0037523F"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  <w:t>Vigilância Agropecuária Internacional (Vigiagro)</w:t>
      </w:r>
    </w:p>
    <w:p w:rsidR="00B92FE4" w:rsidRPr="003C6200" w:rsidRDefault="00B92FE4" w:rsidP="003C6200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Cs/>
          <w:sz w:val="28"/>
          <w:szCs w:val="28"/>
        </w:rPr>
      </w:pPr>
      <w:r w:rsidRPr="003C6200">
        <w:rPr>
          <w:rFonts w:ascii="KorolevCondensed-Bold" w:hAnsi="KorolevCondensed-Bold" w:cs="KorolevCondensed-Bold"/>
          <w:bCs/>
          <w:sz w:val="28"/>
          <w:szCs w:val="28"/>
        </w:rPr>
        <w:lastRenderedPageBreak/>
        <w:t>Órgão responsável: Ministério da Agricultura, Pecuária e Abastecimento –MAPA</w:t>
      </w:r>
    </w:p>
    <w:p w:rsidR="001B6393" w:rsidRPr="001B6393" w:rsidRDefault="001B6393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KorolevCondensed-Bold" w:hAnsi="KorolevCondensed-Bold" w:cs="KorolevCondensed-Bold"/>
          <w:b/>
          <w:bCs/>
          <w:color w:val="000000"/>
          <w:sz w:val="16"/>
          <w:szCs w:val="16"/>
        </w:rPr>
      </w:pPr>
    </w:p>
    <w:p w:rsidR="00283364" w:rsidRDefault="00435222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37523F">
        <w:rPr>
          <w:rFonts w:ascii="Aller-Light" w:hAnsi="Aller-Light" w:cs="Aller-Light"/>
          <w:color w:val="434041"/>
          <w:sz w:val="24"/>
          <w:szCs w:val="24"/>
        </w:rPr>
        <w:t>Para o objetivo de modernizar o Sistema de Vigilância Agropecuária Internacional, as metas estabelecidas</w:t>
      </w:r>
      <w:r w:rsidR="00A43EF7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no PPA 2016-2019 relacionam-se à redução do tempo de liberação das cargas na fiscalização regular do</w:t>
      </w:r>
      <w:r w:rsidR="00A43EF7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comércio exterior de produtos e insumos agropecuários e à elevação da taxa de fiscalização das operações</w:t>
      </w:r>
      <w:r w:rsidR="00A43EF7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de trânsito internacional irregular de mercadorias, bens e materiais de interesse agropecuário.</w:t>
      </w:r>
      <w:r w:rsidR="00A43EF7">
        <w:rPr>
          <w:rFonts w:ascii="Aller-Light" w:hAnsi="Aller-Light" w:cs="Aller-Light"/>
          <w:color w:val="434041"/>
          <w:sz w:val="24"/>
          <w:szCs w:val="24"/>
        </w:rPr>
        <w:t xml:space="preserve"> </w:t>
      </w:r>
    </w:p>
    <w:p w:rsidR="00283364" w:rsidRDefault="00283364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283364" w:rsidRDefault="00435222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37523F">
        <w:rPr>
          <w:rFonts w:ascii="Aller-Light" w:hAnsi="Aller-Light" w:cs="Aller-Light"/>
          <w:color w:val="434041"/>
          <w:sz w:val="24"/>
          <w:szCs w:val="24"/>
        </w:rPr>
        <w:t>O Vigiagro visa salvaguardar o Brasil quanto à introdução no território nacional de doenças e pragas</w:t>
      </w:r>
      <w:r w:rsidR="00A43EF7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que afetam os animais e os vegetais e impedir o ingresso de mercadorias de interesse agropecuário que</w:t>
      </w:r>
      <w:r w:rsidR="00A43EF7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não atendam aos requisitos de sanidade, de identidade e de qualidade, além de evitar a exportação de</w:t>
      </w:r>
      <w:r w:rsidR="00A43EF7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produtos agropecuários que não atendam às exigências internacionais e do país importador. O Vigiagro</w:t>
      </w:r>
      <w:r w:rsidR="00A43EF7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é responsável pelos controles oficiais na exportação, importação e trânsito internacional de produtos de</w:t>
      </w:r>
      <w:r w:rsidR="00A43EF7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origem animal, vegetal e insumos agropecuários.</w:t>
      </w:r>
    </w:p>
    <w:p w:rsidR="00283364" w:rsidRDefault="00283364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435222" w:rsidRPr="0037523F" w:rsidRDefault="00435222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37523F">
        <w:rPr>
          <w:rFonts w:ascii="Aller-Light" w:hAnsi="Aller-Light" w:cs="Aller-Light"/>
          <w:color w:val="434041"/>
          <w:sz w:val="24"/>
          <w:szCs w:val="24"/>
        </w:rPr>
        <w:t>Para reduzir o tempo médio dos processos de fiscalização no comércio exterior de mercadorias, bens</w:t>
      </w:r>
      <w:r w:rsidR="00A43EF7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e materiais de interesse agropecuário, encontra-se em desenvolvimento a Plataforma Tecnológica de</w:t>
      </w:r>
      <w:r w:rsidR="00A43EF7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Gerenciamento do Trânsito Internacional de Produtos Agropecuários, em cooperação com a Universidade</w:t>
      </w:r>
    </w:p>
    <w:p w:rsidR="00435222" w:rsidRPr="0037523F" w:rsidRDefault="00435222" w:rsidP="00A43EF7">
      <w:pPr>
        <w:autoSpaceDE w:val="0"/>
        <w:autoSpaceDN w:val="0"/>
        <w:adjustRightInd w:val="0"/>
        <w:spacing w:after="0" w:line="240" w:lineRule="auto"/>
        <w:jc w:val="both"/>
        <w:rPr>
          <w:rFonts w:ascii="KorolevCondensed-Medium" w:hAnsi="KorolevCondensed-Medium" w:cs="KorolevCondensed-Medium"/>
          <w:color w:val="FFFFFF"/>
          <w:sz w:val="24"/>
          <w:szCs w:val="24"/>
        </w:rPr>
      </w:pPr>
      <w:r w:rsidRPr="0037523F">
        <w:rPr>
          <w:rFonts w:ascii="Aller-Light" w:hAnsi="Aller-Light" w:cs="Aller-Light"/>
          <w:color w:val="434041"/>
          <w:sz w:val="24"/>
          <w:szCs w:val="24"/>
        </w:rPr>
        <w:t>de São Paulo (USP), a fim de construir soluções tecnológicas inteligentes que contribuam na redução do</w:t>
      </w:r>
      <w:r w:rsidR="00A43EF7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tempo de fiscalização. Também está sendo revisado o Manual de normas do Vigiagro, que deverá ser</w:t>
      </w:r>
      <w:r w:rsidR="00A43EF7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concluído nos próximos meses</w:t>
      </w:r>
    </w:p>
    <w:p w:rsidR="00283364" w:rsidRDefault="00435222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37523F">
        <w:rPr>
          <w:rFonts w:ascii="Aller-Light" w:hAnsi="Aller-Light" w:cs="Aller-Light"/>
          <w:color w:val="434041"/>
          <w:sz w:val="24"/>
          <w:szCs w:val="24"/>
        </w:rPr>
        <w:t>Foi firmado, em 2016, acordo de cooperação com a Embrapa Gestão Territorial, a fim de apoiar o Vigiagro.O acordo envolve a realização, pela Embrapa, de análises geoespaciais que permitirão a identificação de</w:t>
      </w:r>
      <w:r w:rsidR="00A43EF7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áreas mais vulneráveis à entrada e estabelecimento de pragas exóticas, prioritárias para a implantação de</w:t>
      </w:r>
      <w:r w:rsidR="00A43EF7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unidades móveis de vigilância ao longo da faixa de fronteira do Brasil.</w:t>
      </w:r>
      <w:r w:rsidR="00A43EF7">
        <w:rPr>
          <w:rFonts w:ascii="Aller-Light" w:hAnsi="Aller-Light" w:cs="Aller-Light"/>
          <w:color w:val="434041"/>
          <w:sz w:val="24"/>
          <w:szCs w:val="24"/>
        </w:rPr>
        <w:t xml:space="preserve"> </w:t>
      </w:r>
    </w:p>
    <w:p w:rsidR="00283364" w:rsidRDefault="00283364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435222" w:rsidRDefault="00435222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37523F">
        <w:rPr>
          <w:rFonts w:ascii="Aller-Light" w:hAnsi="Aller-Light" w:cs="Aller-Light"/>
          <w:color w:val="434041"/>
          <w:sz w:val="24"/>
          <w:szCs w:val="24"/>
        </w:rPr>
        <w:t>O Operador Econômico Autorizado (OEA) certifica intervenientes da cadeia logística que representam</w:t>
      </w:r>
      <w:r w:rsidR="00A43EF7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baixo risco em termos de segurança e em relação ao cumprimento das obrigações aduaneiras. A Portaria</w:t>
      </w:r>
      <w:r w:rsidR="00A43EF7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Conjunta RFB/SDA 1.700/2016, da Secretaria da Receita Federal e da Secretaria de Defesa Agropecuária,</w:t>
      </w:r>
      <w:r w:rsidR="00A43EF7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trata do projeto-piloto do programa Brasileiro do OEA – Integrado, composto do módulo principal da</w:t>
      </w:r>
      <w:r w:rsidR="00A43EF7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Receita Federal e de um módulo complementar, específico para a Agricultura, a fim de agilizar ainda mais</w:t>
      </w:r>
      <w:r w:rsidR="00A43EF7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os procedimentos aduaneiros, visando atingir 50% de declarações registradas por operadores do comércio</w:t>
      </w:r>
      <w:r w:rsidR="00A43EF7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37523F">
        <w:rPr>
          <w:rFonts w:ascii="Aller-Light" w:hAnsi="Aller-Light" w:cs="Aller-Light"/>
          <w:color w:val="434041"/>
          <w:sz w:val="24"/>
          <w:szCs w:val="24"/>
        </w:rPr>
        <w:t>exterior certificados como OEA até 2019.</w:t>
      </w:r>
    </w:p>
    <w:p w:rsidR="00A43EF7" w:rsidRDefault="00A43EF7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16"/>
          <w:szCs w:val="16"/>
        </w:rPr>
      </w:pPr>
    </w:p>
    <w:p w:rsidR="008E3849" w:rsidRDefault="008E3849" w:rsidP="0037523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16"/>
          <w:szCs w:val="16"/>
        </w:rPr>
      </w:pPr>
    </w:p>
    <w:p w:rsidR="008E3849" w:rsidRPr="004A4A47" w:rsidRDefault="008E3849" w:rsidP="008E384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C52891">
        <w:rPr>
          <w:rFonts w:ascii="Aller-Light" w:hAnsi="Aller-Light" w:cs="Aller-Light"/>
          <w:b/>
          <w:color w:val="434041"/>
          <w:sz w:val="28"/>
          <w:szCs w:val="28"/>
          <w:highlight w:val="yellow"/>
        </w:rPr>
        <w:t>Nota</w:t>
      </w:r>
      <w:r w:rsidRPr="00C52891">
        <w:rPr>
          <w:rFonts w:ascii="Aller-Light" w:hAnsi="Aller-Light" w:cs="Aller-Light"/>
          <w:color w:val="434041"/>
          <w:sz w:val="28"/>
          <w:szCs w:val="28"/>
          <w:highlight w:val="yellow"/>
        </w:rPr>
        <w:t xml:space="preserve">: </w:t>
      </w:r>
      <w:r w:rsidR="00B56FD6">
        <w:rPr>
          <w:rFonts w:ascii="Aller-Light" w:hAnsi="Aller-Light" w:cs="Aller-Light"/>
          <w:color w:val="434041"/>
          <w:sz w:val="28"/>
          <w:szCs w:val="28"/>
          <w:highlight w:val="yellow"/>
        </w:rPr>
        <w:t>O</w:t>
      </w:r>
      <w:r w:rsidRPr="00C52891">
        <w:rPr>
          <w:rFonts w:ascii="Aller-Light" w:hAnsi="Aller-Light" w:cs="Aller-Light"/>
          <w:color w:val="434041"/>
          <w:sz w:val="28"/>
          <w:szCs w:val="28"/>
          <w:highlight w:val="yellow"/>
        </w:rPr>
        <w:t xml:space="preserve"> descritor </w:t>
      </w:r>
      <w:r w:rsidR="00B56FD6">
        <w:rPr>
          <w:rFonts w:ascii="Aller-Light" w:hAnsi="Aller-Light" w:cs="Aller-Light"/>
          <w:color w:val="434041"/>
          <w:sz w:val="28"/>
          <w:szCs w:val="28"/>
          <w:highlight w:val="yellow"/>
        </w:rPr>
        <w:t xml:space="preserve">dos objetivos foi </w:t>
      </w:r>
      <w:r w:rsidRPr="00C52891">
        <w:rPr>
          <w:rFonts w:ascii="Aller-Light" w:hAnsi="Aller-Light" w:cs="Aller-Light"/>
          <w:color w:val="434041"/>
          <w:sz w:val="28"/>
          <w:szCs w:val="28"/>
          <w:highlight w:val="yellow"/>
        </w:rPr>
        <w:t>expresso em linguagem cidadã, para melhor compreensão.</w:t>
      </w:r>
    </w:p>
    <w:p w:rsidR="008E3849" w:rsidRPr="00A43EF7" w:rsidRDefault="00F93032" w:rsidP="00F93032">
      <w:pPr>
        <w:tabs>
          <w:tab w:val="left" w:pos="1935"/>
        </w:tabs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16"/>
          <w:szCs w:val="16"/>
        </w:rPr>
      </w:pPr>
      <w:r>
        <w:rPr>
          <w:rFonts w:ascii="Aller-Light" w:hAnsi="Aller-Light" w:cs="Aller-Light"/>
          <w:color w:val="434041"/>
          <w:sz w:val="16"/>
          <w:szCs w:val="16"/>
        </w:rPr>
        <w:tab/>
      </w:r>
    </w:p>
    <w:sectPr w:rsidR="008E3849" w:rsidRPr="00A43EF7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AB2" w:rsidRDefault="00EB0AB2" w:rsidP="009406D3">
      <w:pPr>
        <w:spacing w:after="0" w:line="240" w:lineRule="auto"/>
      </w:pPr>
      <w:r>
        <w:separator/>
      </w:r>
    </w:p>
  </w:endnote>
  <w:endnote w:type="continuationSeparator" w:id="0">
    <w:p w:rsidR="00EB0AB2" w:rsidRDefault="00EB0AB2" w:rsidP="00940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rolevCondense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l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rolevCondensed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l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l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6D3" w:rsidRDefault="009406D3">
    <w:pPr>
      <w:pStyle w:val="Rodap"/>
    </w:pPr>
    <w:r w:rsidRPr="009406D3">
      <w:rPr>
        <w:noProof/>
        <w:color w:val="808080" w:themeColor="background1" w:themeShade="80"/>
        <w:sz w:val="16"/>
        <w:szCs w:val="16"/>
        <w:lang w:eastAsia="pt-BR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posOffset>62138</wp:posOffset>
              </wp:positionV>
              <wp:extent cx="5943600" cy="287383"/>
              <wp:effectExtent l="0" t="0" r="0" b="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87383"/>
                        <a:chOff x="0" y="0"/>
                        <a:chExt cx="5962650" cy="185059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1183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6D3" w:rsidRPr="009406D3" w:rsidRDefault="006A3083" w:rsidP="009406D3">
                            <w:pPr>
                              <w:pStyle w:val="Rodap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</w:t>
                            </w:r>
                            <w:r w:rsidR="009406D3" w:rsidRPr="009406D3">
                              <w:rPr>
                                <w:sz w:val="16"/>
                                <w:szCs w:val="16"/>
                              </w:rPr>
                              <w:t>nte:: Relatório Anual de Avaliação – ano base 2016 – Ministério do Planejamento Desenvolvimento e Gestão</w:t>
                            </w:r>
                          </w:p>
                          <w:p w:rsidR="009406D3" w:rsidRDefault="009406D3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37" o:spid="_x0000_s1026" style="position:absolute;margin-left:416.8pt;margin-top:4.9pt;width:468pt;height:22.65pt;z-index:251660288;mso-width-percent:1000;mso-wrap-distance-left:0;mso-wrap-distance-right:0;mso-position-horizontal:right;mso-position-horizontal-relative:margin;mso-position-vertical-relative:bottom-margin-area;mso-width-percent:1000;mso-width-relative:margin;mso-height-relative:margin" coordsize="59626,1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">
              <v:rect id="Retângulo 38" o:spid="_x0000_s1027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28" type="#_x0000_t202" style="position:absolute;top:666;width:59436;height:118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p w:rsidR="009406D3" w:rsidRPr="009406D3" w:rsidRDefault="006A3083" w:rsidP="009406D3">
                      <w:pPr>
                        <w:pStyle w:val="Rodap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Fo</w:t>
                      </w:r>
                      <w:r w:rsidR="009406D3" w:rsidRPr="009406D3">
                        <w:rPr>
                          <w:sz w:val="16"/>
                          <w:szCs w:val="16"/>
                        </w:rPr>
                        <w:t>nte:: Relatório Anual de Avaliação – ano base 2016 – Ministério do Planejamento Desenvolvimento e Gestão</w:t>
                      </w:r>
                    </w:p>
                    <w:p w:rsidR="009406D3" w:rsidRDefault="009406D3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  <w:p w:rsidR="009406D3" w:rsidRPr="009406D3" w:rsidRDefault="009406D3">
    <w:pPr>
      <w:pStyle w:val="Rodap"/>
      <w:rPr>
        <w:sz w:val="16"/>
        <w:szCs w:val="16"/>
      </w:rPr>
    </w:pPr>
    <w:r w:rsidRPr="009406D3"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406D3" w:rsidRDefault="009406D3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95D19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" fillcolor="black [3213]" stroked="f" strokeweight="3pt">
              <v:textbox>
                <w:txbxContent>
                  <w:p w:rsidR="009406D3" w:rsidRDefault="009406D3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E95D19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9406D3">
      <w:rPr>
        <w:sz w:val="16"/>
        <w:szCs w:val="16"/>
      </w:rPr>
      <w:t>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AB2" w:rsidRDefault="00EB0AB2" w:rsidP="009406D3">
      <w:pPr>
        <w:spacing w:after="0" w:line="240" w:lineRule="auto"/>
      </w:pPr>
      <w:r>
        <w:separator/>
      </w:r>
    </w:p>
  </w:footnote>
  <w:footnote w:type="continuationSeparator" w:id="0">
    <w:p w:rsidR="00EB0AB2" w:rsidRDefault="00EB0AB2" w:rsidP="009406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22"/>
    <w:rsid w:val="000136BE"/>
    <w:rsid w:val="00107B0E"/>
    <w:rsid w:val="001B6393"/>
    <w:rsid w:val="00266D95"/>
    <w:rsid w:val="00283364"/>
    <w:rsid w:val="002C07B0"/>
    <w:rsid w:val="002F0827"/>
    <w:rsid w:val="003165CD"/>
    <w:rsid w:val="0037523F"/>
    <w:rsid w:val="003C6200"/>
    <w:rsid w:val="00435222"/>
    <w:rsid w:val="004F4FEC"/>
    <w:rsid w:val="005309A2"/>
    <w:rsid w:val="00563E5D"/>
    <w:rsid w:val="006A3083"/>
    <w:rsid w:val="007A6F28"/>
    <w:rsid w:val="007D2111"/>
    <w:rsid w:val="007F665C"/>
    <w:rsid w:val="008726B4"/>
    <w:rsid w:val="008C2713"/>
    <w:rsid w:val="008E3849"/>
    <w:rsid w:val="009406D3"/>
    <w:rsid w:val="00997023"/>
    <w:rsid w:val="009A75F5"/>
    <w:rsid w:val="00A14318"/>
    <w:rsid w:val="00A336E2"/>
    <w:rsid w:val="00A43EF7"/>
    <w:rsid w:val="00B56FD6"/>
    <w:rsid w:val="00B92FE4"/>
    <w:rsid w:val="00C15151"/>
    <w:rsid w:val="00C20C19"/>
    <w:rsid w:val="00CF24B6"/>
    <w:rsid w:val="00E2203D"/>
    <w:rsid w:val="00E95D19"/>
    <w:rsid w:val="00EA6C85"/>
    <w:rsid w:val="00EB0AB2"/>
    <w:rsid w:val="00F51FEF"/>
    <w:rsid w:val="00F9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63DD4B-752E-4323-B8D7-AE0B9CEA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06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06D3"/>
  </w:style>
  <w:style w:type="paragraph" w:styleId="Rodap">
    <w:name w:val="footer"/>
    <w:basedOn w:val="Normal"/>
    <w:link w:val="RodapChar"/>
    <w:uiPriority w:val="99"/>
    <w:unhideWhenUsed/>
    <w:rsid w:val="009406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06D3"/>
  </w:style>
  <w:style w:type="paragraph" w:styleId="Textodebalo">
    <w:name w:val="Balloon Text"/>
    <w:basedOn w:val="Normal"/>
    <w:link w:val="TextodebaloChar"/>
    <w:uiPriority w:val="99"/>
    <w:semiHidden/>
    <w:unhideWhenUsed/>
    <w:rsid w:val="00940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3731</Words>
  <Characters>20151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MAPA</Company>
  <LinksUpToDate>false</LinksUpToDate>
  <CharactersWithSpaces>23835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Antonio Rodrigues Nogueira</dc:creator>
  <cp:keywords/>
  <dc:description/>
  <cp:lastModifiedBy>Ana Maria Cardoso</cp:lastModifiedBy>
  <cp:revision>2</cp:revision>
  <cp:lastPrinted>2017-06-27T16:05:00Z</cp:lastPrinted>
  <dcterms:created xsi:type="dcterms:W3CDTF">2017-07-07T12:53:00Z</dcterms:created>
  <dcterms:modified xsi:type="dcterms:W3CDTF">2017-07-07T12:53:00Z</dcterms:modified>
</cp:coreProperties>
</file>